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43" w:rsidRDefault="002706AC" w:rsidP="002706AC">
      <w:pPr>
        <w:spacing w:line="240" w:lineRule="auto"/>
        <w:ind w:left="-709" w:firstLine="0"/>
        <w:jc w:val="center"/>
      </w:pPr>
      <w:r>
        <w:t>ФГОУ ВПО «Финансовый университет при Правительстве Российской Федерации», Пермский финансово-экономический колледж</w:t>
      </w:r>
    </w:p>
    <w:p w:rsidR="006016C6" w:rsidRPr="006016C6" w:rsidRDefault="006016C6" w:rsidP="0079635F">
      <w:pPr>
        <w:spacing w:line="240" w:lineRule="auto"/>
        <w:ind w:firstLine="0"/>
        <w:jc w:val="center"/>
      </w:pPr>
    </w:p>
    <w:p w:rsidR="009E153D" w:rsidRDefault="009E153D">
      <w:pPr>
        <w:spacing w:line="240" w:lineRule="auto"/>
        <w:ind w:firstLine="0"/>
        <w:jc w:val="center"/>
      </w:pPr>
    </w:p>
    <w:p w:rsidR="009E153D" w:rsidRPr="009E153D" w:rsidRDefault="009E153D" w:rsidP="009E153D"/>
    <w:p w:rsidR="009E153D" w:rsidRPr="009E153D" w:rsidRDefault="009E153D" w:rsidP="009E153D"/>
    <w:p w:rsidR="009E153D" w:rsidRPr="009E153D" w:rsidRDefault="009E153D" w:rsidP="009E153D"/>
    <w:p w:rsidR="009E153D" w:rsidRDefault="009E153D" w:rsidP="009E153D"/>
    <w:p w:rsidR="009E153D" w:rsidRDefault="00B501B9" w:rsidP="002706AC">
      <w:pPr>
        <w:tabs>
          <w:tab w:val="left" w:pos="4233"/>
        </w:tabs>
        <w:spacing w:line="240" w:lineRule="auto"/>
        <w:ind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0;margin-top:212.05pt;width:473.15pt;height:64.7pt;z-index:251659264;visibility:visible;mso-position-horizontal:center;mso-position-horizontal-relative:margin;mso-position-vertic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HfTWAIAAH8EAAAOAAAAZHJzL2Uyb0RvYy54bWysVM2O0zAQviPxDpbvNOk/RE1XpasipGp3&#10;pS7as+s4bSTHY2y3Sblx5xV4Bw4cuPEK3Tdi7KTdsnBCXJyxZ/x5vvlmMrmqS0n2wtgCVEq7nZgS&#10;oThkhdqk9MP94tVrSqxjKmMSlEjpQVh6NX35YlLpRPRgCzIThiCIskmlU7p1TidRZPlWlMx2QAuF&#10;zhxMyRxuzSbKDKsQvZRRL45HUQUm0wa4sBZPrxsnnQb8PBfc3ea5FY7IlGJuLqwmrGu/RtMJSzaG&#10;6W3B2zTYP2RRskLho2eoa+YY2ZniD6iy4AYs5K7DoYwgzwsuAgdk042fsVltmRaBCxbH6nOZ7P+D&#10;5Tf7O0OKDLWjRLESJTp+PX47fj/+PP54/Pz4hXR9jSptEwxdaQx29VuofXx7bvHQU69zU/ovkiLo&#10;x2ofzhUWtSMcD3vjeNQbDijh6Ot3B3F/7GGip9vaWPdOQEm8kVKDCobCsv3Suib0FOIfsyCLbFFI&#10;GTa+a8RcGrJnqLd0IUcE/y1KKlKldNQfxgFYgb/eIEuFuXiuDSdvuXpdt0TXkB2Qv4Gmi6zmiwKT&#10;XDLr7pjBtkHKOAruFpdcAj4CrUXJFsynv537eFQTvZRU2IYptR93zAhK5HuFOr/pDga+b8NmMBz3&#10;cGMuPetLj9qVc0DmqCVmF0wf7+TJzA2UDzgxM/8qupji+HZK3cmcu2Y4cOK4mM1CEHaqZm6pVpp7&#10;aF9pL8F9/cCMbnVyqPANnBqWJc/kamL9TQWznYO8CFr6AjdVbeuOXR66oZ1IP0aX+xD19N+Y/gIA&#10;AP//AwBQSwMEFAAGAAgAAAAhADF3NePkAAAADQEAAA8AAABkcnMvZG93bnJldi54bWxMj0tLxEAQ&#10;hO+C/2FowYu4E5N9hGw6i/gEb2584G020ybBTE/IzCbx3zue9FLQFF1VX76bTSdGGlxrGeFqEYEg&#10;rqxuuUZ4Ke8vUxDOK9aqs0wI3+RgV5ye5CrTduJnGve+FiGEXaYQGu/7TEpXNWSUW9ieOHifdjDK&#10;h3OopR7UFMJNJ+MoWkujWg4NjerppqHqa380CB8X9fuTmx9ep2SV9HePY7l50yXi+dl8uw1yvQXh&#10;afZ/H/DLEPZDEYYd7JG1Ex1CoPEIyzRNQAR7Ga9jEAeEVbJJQRa5/E9R/AAAAP//AwBQSwECLQAU&#10;AAYACAAAACEAtoM4kv4AAADhAQAAEwAAAAAAAAAAAAAAAAAAAAAAW0NvbnRlbnRfVHlwZXNdLnht&#10;bFBLAQItABQABgAIAAAAIQA4/SH/1gAAAJQBAAALAAAAAAAAAAAAAAAAAC8BAABfcmVscy8ucmVs&#10;c1BLAQItABQABgAIAAAAIQAykHfTWAIAAH8EAAAOAAAAAAAAAAAAAAAAAC4CAABkcnMvZTJvRG9j&#10;LnhtbFBLAQItABQABgAIAAAAIQAxdzXj5AAAAA0BAAAPAAAAAAAAAAAAAAAAALIEAABkcnMvZG93&#10;bnJldi54bWxQSwUGAAAAAAQABADzAAAAwwUAAAAAQUFBQUFBQUFBQUFMSUVBQUJrY25=&#10;" fillcolor="white [3201]" stroked="f" strokeweight=".5pt">
            <v:textbox style="mso-next-textbox:#Надпись 1">
              <w:txbxContent>
                <w:p w:rsidR="00310143" w:rsidRPr="009E153D" w:rsidRDefault="00310143" w:rsidP="002706AC">
                  <w:pPr>
                    <w:ind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Налоговые ставки в России и зарубежных странах: анализ сравнительных данных</w:t>
                  </w:r>
                </w:p>
              </w:txbxContent>
            </v:textbox>
            <w10:wrap anchorx="margin" anchory="margin"/>
          </v:shape>
        </w:pic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9"/>
        <w:gridCol w:w="5140"/>
      </w:tblGrid>
      <w:tr w:rsidR="009E153D" w:rsidTr="002706AC">
        <w:trPr>
          <w:trHeight w:val="1061"/>
        </w:trPr>
        <w:tc>
          <w:tcPr>
            <w:tcW w:w="4559" w:type="dxa"/>
          </w:tcPr>
          <w:p w:rsidR="009E153D" w:rsidRDefault="009E153D" w:rsidP="009E153D">
            <w:pPr>
              <w:tabs>
                <w:tab w:val="left" w:pos="4233"/>
              </w:tabs>
              <w:spacing w:line="240" w:lineRule="auto"/>
              <w:ind w:firstLine="0"/>
              <w:jc w:val="center"/>
            </w:pPr>
          </w:p>
        </w:tc>
        <w:tc>
          <w:tcPr>
            <w:tcW w:w="5140" w:type="dxa"/>
          </w:tcPr>
          <w:p w:rsidR="009E153D" w:rsidRDefault="009E153D" w:rsidP="009E153D">
            <w:pPr>
              <w:tabs>
                <w:tab w:val="left" w:pos="4233"/>
              </w:tabs>
              <w:spacing w:line="240" w:lineRule="auto"/>
              <w:ind w:firstLine="0"/>
              <w:jc w:val="center"/>
            </w:pPr>
          </w:p>
        </w:tc>
      </w:tr>
      <w:tr w:rsidR="00FD415D" w:rsidTr="002706AC">
        <w:trPr>
          <w:trHeight w:val="1061"/>
        </w:trPr>
        <w:tc>
          <w:tcPr>
            <w:tcW w:w="4559" w:type="dxa"/>
          </w:tcPr>
          <w:p w:rsidR="00FD415D" w:rsidRDefault="00FD415D" w:rsidP="009E153D">
            <w:pPr>
              <w:tabs>
                <w:tab w:val="left" w:pos="4233"/>
              </w:tabs>
              <w:spacing w:line="240" w:lineRule="auto"/>
              <w:ind w:firstLine="0"/>
              <w:jc w:val="center"/>
            </w:pPr>
          </w:p>
        </w:tc>
        <w:tc>
          <w:tcPr>
            <w:tcW w:w="5140" w:type="dxa"/>
          </w:tcPr>
          <w:p w:rsidR="00FD415D" w:rsidRDefault="00FD415D" w:rsidP="009E153D">
            <w:pPr>
              <w:tabs>
                <w:tab w:val="left" w:pos="4233"/>
              </w:tabs>
              <w:spacing w:line="240" w:lineRule="auto"/>
              <w:ind w:firstLine="0"/>
              <w:jc w:val="center"/>
            </w:pPr>
          </w:p>
        </w:tc>
      </w:tr>
      <w:tr w:rsidR="00FD415D" w:rsidTr="002706AC">
        <w:trPr>
          <w:trHeight w:val="1061"/>
        </w:trPr>
        <w:tc>
          <w:tcPr>
            <w:tcW w:w="4559" w:type="dxa"/>
          </w:tcPr>
          <w:p w:rsidR="00FD415D" w:rsidRDefault="00FD415D" w:rsidP="009E153D">
            <w:pPr>
              <w:tabs>
                <w:tab w:val="left" w:pos="4233"/>
              </w:tabs>
              <w:spacing w:line="240" w:lineRule="auto"/>
              <w:ind w:firstLine="0"/>
              <w:jc w:val="center"/>
            </w:pPr>
          </w:p>
        </w:tc>
        <w:tc>
          <w:tcPr>
            <w:tcW w:w="5140" w:type="dxa"/>
          </w:tcPr>
          <w:p w:rsidR="00FD415D" w:rsidRDefault="00FD415D" w:rsidP="009E153D">
            <w:pPr>
              <w:tabs>
                <w:tab w:val="left" w:pos="4233"/>
              </w:tabs>
              <w:spacing w:line="240" w:lineRule="auto"/>
              <w:ind w:firstLine="0"/>
              <w:jc w:val="center"/>
            </w:pPr>
          </w:p>
        </w:tc>
      </w:tr>
      <w:tr w:rsidR="00FD415D" w:rsidTr="002706AC">
        <w:trPr>
          <w:trHeight w:val="5350"/>
        </w:trPr>
        <w:tc>
          <w:tcPr>
            <w:tcW w:w="4559" w:type="dxa"/>
          </w:tcPr>
          <w:p w:rsidR="00FD415D" w:rsidRDefault="00FD415D" w:rsidP="009E153D">
            <w:pPr>
              <w:tabs>
                <w:tab w:val="left" w:pos="4233"/>
              </w:tabs>
              <w:spacing w:line="240" w:lineRule="auto"/>
              <w:ind w:firstLine="0"/>
              <w:jc w:val="center"/>
            </w:pPr>
          </w:p>
        </w:tc>
        <w:tc>
          <w:tcPr>
            <w:tcW w:w="5140" w:type="dxa"/>
          </w:tcPr>
          <w:p w:rsidR="003327E5" w:rsidRDefault="002706AC" w:rsidP="002706AC">
            <w:pPr>
              <w:tabs>
                <w:tab w:val="left" w:pos="4233"/>
              </w:tabs>
              <w:spacing w:line="240" w:lineRule="auto"/>
              <w:ind w:left="1678" w:firstLine="0"/>
            </w:pPr>
            <w:r>
              <w:t>Конкурсная работа</w:t>
            </w:r>
          </w:p>
          <w:p w:rsidR="002706AC" w:rsidRDefault="002706AC" w:rsidP="002706AC">
            <w:pPr>
              <w:tabs>
                <w:tab w:val="left" w:pos="4233"/>
              </w:tabs>
              <w:spacing w:line="240" w:lineRule="auto"/>
              <w:ind w:left="1678" w:firstLine="0"/>
            </w:pPr>
            <w:r>
              <w:t>Курс: 3</w:t>
            </w:r>
          </w:p>
          <w:p w:rsidR="002706AC" w:rsidRDefault="002706AC" w:rsidP="002706AC">
            <w:pPr>
              <w:tabs>
                <w:tab w:val="left" w:pos="4233"/>
              </w:tabs>
              <w:spacing w:line="240" w:lineRule="auto"/>
              <w:ind w:left="1678" w:firstLine="0"/>
            </w:pPr>
            <w:r>
              <w:t>Группа: 306</w:t>
            </w:r>
          </w:p>
          <w:p w:rsidR="002706AC" w:rsidRDefault="002706AC" w:rsidP="002706AC">
            <w:pPr>
              <w:tabs>
                <w:tab w:val="left" w:pos="4233"/>
              </w:tabs>
              <w:spacing w:line="240" w:lineRule="auto"/>
              <w:ind w:left="1678" w:firstLine="0"/>
            </w:pPr>
            <w:r>
              <w:t>Специальность: Финансы</w:t>
            </w:r>
          </w:p>
          <w:p w:rsidR="002706AC" w:rsidRDefault="002706AC" w:rsidP="002706AC">
            <w:pPr>
              <w:tabs>
                <w:tab w:val="left" w:pos="4233"/>
              </w:tabs>
              <w:spacing w:line="240" w:lineRule="auto"/>
              <w:ind w:left="1678" w:firstLine="0"/>
            </w:pPr>
            <w:r>
              <w:t>Богданов Степан Игоревич</w:t>
            </w:r>
          </w:p>
          <w:p w:rsidR="00D30D2F" w:rsidRDefault="00D30D2F" w:rsidP="002706AC">
            <w:pPr>
              <w:tabs>
                <w:tab w:val="left" w:pos="4233"/>
              </w:tabs>
              <w:spacing w:line="240" w:lineRule="auto"/>
              <w:ind w:left="1678" w:firstLine="0"/>
            </w:pPr>
          </w:p>
          <w:p w:rsidR="00D30D2F" w:rsidRDefault="00D30D2F" w:rsidP="002706AC">
            <w:pPr>
              <w:tabs>
                <w:tab w:val="left" w:pos="4233"/>
              </w:tabs>
              <w:spacing w:line="240" w:lineRule="auto"/>
              <w:ind w:left="1678" w:firstLine="0"/>
            </w:pPr>
          </w:p>
          <w:p w:rsidR="00D30D2F" w:rsidRDefault="00D30D2F" w:rsidP="002706AC">
            <w:pPr>
              <w:tabs>
                <w:tab w:val="left" w:pos="4233"/>
              </w:tabs>
              <w:spacing w:line="240" w:lineRule="auto"/>
              <w:ind w:left="1678" w:firstLine="0"/>
            </w:pPr>
          </w:p>
          <w:p w:rsidR="00D30D2F" w:rsidRDefault="00D30D2F" w:rsidP="002706AC">
            <w:pPr>
              <w:tabs>
                <w:tab w:val="left" w:pos="4233"/>
              </w:tabs>
              <w:spacing w:line="240" w:lineRule="auto"/>
              <w:ind w:left="1678" w:firstLine="0"/>
            </w:pPr>
          </w:p>
          <w:p w:rsidR="00D30D2F" w:rsidRDefault="00D30D2F" w:rsidP="002706AC">
            <w:pPr>
              <w:tabs>
                <w:tab w:val="left" w:pos="4233"/>
              </w:tabs>
              <w:spacing w:line="240" w:lineRule="auto"/>
              <w:ind w:left="1678" w:firstLine="0"/>
            </w:pPr>
          </w:p>
          <w:p w:rsidR="00D30D2F" w:rsidRDefault="00D30D2F" w:rsidP="002706AC">
            <w:pPr>
              <w:tabs>
                <w:tab w:val="left" w:pos="4233"/>
              </w:tabs>
              <w:spacing w:line="240" w:lineRule="auto"/>
              <w:ind w:left="1678" w:firstLine="0"/>
            </w:pPr>
          </w:p>
          <w:p w:rsidR="00D30D2F" w:rsidRPr="003327E5" w:rsidRDefault="00D30D2F" w:rsidP="00D30D2F">
            <w:pPr>
              <w:tabs>
                <w:tab w:val="left" w:pos="4233"/>
              </w:tabs>
              <w:spacing w:line="240" w:lineRule="auto"/>
              <w:ind w:firstLine="0"/>
            </w:pPr>
          </w:p>
        </w:tc>
      </w:tr>
    </w:tbl>
    <w:p w:rsidR="00A90256" w:rsidRPr="00D30D2F" w:rsidRDefault="00D30D2F" w:rsidP="00D30D2F">
      <w:pPr>
        <w:spacing w:after="0" w:line="240" w:lineRule="auto"/>
        <w:ind w:firstLine="0"/>
        <w:jc w:val="center"/>
        <w:rPr>
          <w:b/>
        </w:rPr>
      </w:pPr>
      <w:r w:rsidRPr="00D30D2F">
        <w:rPr>
          <w:b/>
        </w:rPr>
        <w:t>Пермь, 2024</w:t>
      </w:r>
    </w:p>
    <w:sdt>
      <w:sdtPr>
        <w:rPr>
          <w:rFonts w:eastAsiaTheme="minorEastAsia" w:cs="Times New Roman"/>
          <w:bCs w:val="0"/>
          <w:iCs/>
          <w:szCs w:val="24"/>
          <w:lang w:eastAsia="zh-CN"/>
        </w:rPr>
        <w:id w:val="-1359282342"/>
      </w:sdtPr>
      <w:sdtEndPr>
        <w:rPr>
          <w:rFonts w:cstheme="minorHAnsi"/>
          <w:b/>
          <w:bCs/>
          <w:noProof/>
        </w:rPr>
      </w:sdtEndPr>
      <w:sdtContent>
        <w:p w:rsidR="00A90256" w:rsidRPr="00A90256" w:rsidRDefault="00013998" w:rsidP="00A90256">
          <w:pPr>
            <w:pStyle w:val="ad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СОДЕРЖАНИЕ</w:t>
          </w:r>
        </w:p>
        <w:p w:rsidR="00363104" w:rsidRDefault="00B501B9">
          <w:pPr>
            <w:pStyle w:val="11"/>
            <w:tabs>
              <w:tab w:val="right" w:leader="dot" w:pos="9488"/>
            </w:tabs>
            <w:rPr>
              <w:rFonts w:asciiTheme="minorHAnsi" w:hAnsiTheme="minorHAnsi" w:cstheme="minorBidi"/>
              <w:bCs w:val="0"/>
              <w:iCs w:val="0"/>
              <w:noProof/>
              <w:color w:val="auto"/>
              <w:sz w:val="22"/>
              <w:szCs w:val="22"/>
              <w:lang w:eastAsia="ru-RU"/>
            </w:rPr>
          </w:pPr>
          <w:r w:rsidRPr="00B501B9">
            <w:rPr>
              <w:bCs w:val="0"/>
            </w:rPr>
            <w:fldChar w:fldCharType="begin"/>
          </w:r>
          <w:r w:rsidR="00A90256">
            <w:instrText>TOC \o "1-3" \h \z \u</w:instrText>
          </w:r>
          <w:r w:rsidRPr="00B501B9">
            <w:rPr>
              <w:bCs w:val="0"/>
            </w:rPr>
            <w:fldChar w:fldCharType="separate"/>
          </w:r>
          <w:hyperlink w:anchor="_Toc178966152" w:history="1">
            <w:r w:rsidR="00363104" w:rsidRPr="009C4CC4">
              <w:rPr>
                <w:rStyle w:val="ae"/>
                <w:noProof/>
              </w:rPr>
              <w:t>ВВЕДЕНИЕ</w:t>
            </w:r>
            <w:r w:rsidR="003631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63104">
              <w:rPr>
                <w:noProof/>
                <w:webHidden/>
              </w:rPr>
              <w:instrText xml:space="preserve"> PAGEREF _Toc178966152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318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3104" w:rsidRDefault="00B501B9">
          <w:pPr>
            <w:pStyle w:val="11"/>
            <w:tabs>
              <w:tab w:val="right" w:leader="dot" w:pos="9488"/>
            </w:tabs>
            <w:rPr>
              <w:rFonts w:asciiTheme="minorHAnsi" w:hAnsiTheme="minorHAnsi" w:cstheme="minorBidi"/>
              <w:bCs w:val="0"/>
              <w:iCs w:val="0"/>
              <w:noProof/>
              <w:color w:val="auto"/>
              <w:sz w:val="22"/>
              <w:szCs w:val="22"/>
              <w:lang w:eastAsia="ru-RU"/>
            </w:rPr>
          </w:pPr>
          <w:hyperlink w:anchor="_Toc178966153" w:history="1">
            <w:r w:rsidR="00363104" w:rsidRPr="009C4CC4">
              <w:rPr>
                <w:rStyle w:val="ae"/>
                <w:noProof/>
              </w:rPr>
              <w:t>ГЛАВА 1. НАЛОГОВЫЕ СТАВКИ В РОССИИ</w:t>
            </w:r>
            <w:r w:rsidR="003631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63104">
              <w:rPr>
                <w:noProof/>
                <w:webHidden/>
              </w:rPr>
              <w:instrText xml:space="preserve"> PAGEREF _Toc178966153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318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3104" w:rsidRDefault="00B501B9">
          <w:pPr>
            <w:pStyle w:val="21"/>
            <w:tabs>
              <w:tab w:val="left" w:pos="1120"/>
              <w:tab w:val="right" w:leader="dot" w:pos="9488"/>
            </w:tabs>
            <w:rPr>
              <w:rFonts w:asciiTheme="minorHAnsi" w:hAnsiTheme="minorHAnsi" w:cstheme="minorBidi"/>
              <w:bCs w:val="0"/>
              <w:noProof/>
              <w:color w:val="auto"/>
              <w:sz w:val="22"/>
              <w:lang w:eastAsia="ru-RU"/>
            </w:rPr>
          </w:pPr>
          <w:hyperlink w:anchor="_Toc178966154" w:history="1">
            <w:r w:rsidR="00363104" w:rsidRPr="009C4CC4">
              <w:rPr>
                <w:rStyle w:val="ae"/>
                <w:noProof/>
              </w:rPr>
              <w:t>1.1.</w:t>
            </w:r>
            <w:r w:rsidR="00363104">
              <w:rPr>
                <w:rFonts w:asciiTheme="minorHAnsi" w:hAnsiTheme="minorHAnsi" w:cstheme="minorBidi"/>
                <w:bCs w:val="0"/>
                <w:noProof/>
                <w:color w:val="auto"/>
                <w:sz w:val="22"/>
                <w:lang w:eastAsia="ru-RU"/>
              </w:rPr>
              <w:tab/>
            </w:r>
            <w:r w:rsidR="00363104" w:rsidRPr="009C4CC4">
              <w:rPr>
                <w:rStyle w:val="ae"/>
                <w:noProof/>
              </w:rPr>
              <w:t>Исторический контекст формирования налоговой системы России</w:t>
            </w:r>
            <w:r w:rsidR="003631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63104">
              <w:rPr>
                <w:noProof/>
                <w:webHidden/>
              </w:rPr>
              <w:instrText xml:space="preserve"> PAGEREF _Toc178966154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318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3104" w:rsidRDefault="00B501B9">
          <w:pPr>
            <w:pStyle w:val="21"/>
            <w:tabs>
              <w:tab w:val="left" w:pos="1120"/>
              <w:tab w:val="right" w:leader="dot" w:pos="9488"/>
            </w:tabs>
            <w:rPr>
              <w:rFonts w:asciiTheme="minorHAnsi" w:hAnsiTheme="minorHAnsi" w:cstheme="minorBidi"/>
              <w:bCs w:val="0"/>
              <w:noProof/>
              <w:color w:val="auto"/>
              <w:sz w:val="22"/>
              <w:lang w:eastAsia="ru-RU"/>
            </w:rPr>
          </w:pPr>
          <w:hyperlink w:anchor="_Toc178966155" w:history="1">
            <w:r w:rsidR="00363104" w:rsidRPr="009C4CC4">
              <w:rPr>
                <w:rStyle w:val="ae"/>
                <w:noProof/>
              </w:rPr>
              <w:t>1.2.</w:t>
            </w:r>
            <w:r w:rsidR="00363104">
              <w:rPr>
                <w:rFonts w:asciiTheme="minorHAnsi" w:hAnsiTheme="minorHAnsi" w:cstheme="minorBidi"/>
                <w:bCs w:val="0"/>
                <w:noProof/>
                <w:color w:val="auto"/>
                <w:sz w:val="22"/>
                <w:lang w:eastAsia="ru-RU"/>
              </w:rPr>
              <w:tab/>
            </w:r>
            <w:r w:rsidR="00363104" w:rsidRPr="009C4CC4">
              <w:rPr>
                <w:rStyle w:val="ae"/>
                <w:noProof/>
              </w:rPr>
              <w:t>Современная налоговая система и налоговые ставки в России</w:t>
            </w:r>
            <w:r w:rsidR="003631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63104">
              <w:rPr>
                <w:noProof/>
                <w:webHidden/>
              </w:rPr>
              <w:instrText xml:space="preserve"> PAGEREF _Toc178966155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318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3104" w:rsidRDefault="00B501B9">
          <w:pPr>
            <w:pStyle w:val="21"/>
            <w:tabs>
              <w:tab w:val="left" w:pos="1120"/>
              <w:tab w:val="right" w:leader="dot" w:pos="9488"/>
            </w:tabs>
            <w:rPr>
              <w:rFonts w:asciiTheme="minorHAnsi" w:hAnsiTheme="minorHAnsi" w:cstheme="minorBidi"/>
              <w:bCs w:val="0"/>
              <w:noProof/>
              <w:color w:val="auto"/>
              <w:sz w:val="22"/>
              <w:lang w:eastAsia="ru-RU"/>
            </w:rPr>
          </w:pPr>
          <w:hyperlink w:anchor="_Toc178966156" w:history="1">
            <w:r w:rsidR="00363104" w:rsidRPr="009C4CC4">
              <w:rPr>
                <w:rStyle w:val="ae"/>
                <w:noProof/>
              </w:rPr>
              <w:t>1.3.</w:t>
            </w:r>
            <w:r w:rsidR="00363104">
              <w:rPr>
                <w:rFonts w:asciiTheme="minorHAnsi" w:hAnsiTheme="minorHAnsi" w:cstheme="minorBidi"/>
                <w:bCs w:val="0"/>
                <w:noProof/>
                <w:color w:val="auto"/>
                <w:sz w:val="22"/>
                <w:lang w:eastAsia="ru-RU"/>
              </w:rPr>
              <w:tab/>
            </w:r>
            <w:r w:rsidR="00363104" w:rsidRPr="009C4CC4">
              <w:rPr>
                <w:rStyle w:val="ae"/>
                <w:noProof/>
              </w:rPr>
              <w:t>Эффективность налоговой политики России</w:t>
            </w:r>
            <w:r w:rsidR="003631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63104">
              <w:rPr>
                <w:noProof/>
                <w:webHidden/>
              </w:rPr>
              <w:instrText xml:space="preserve"> PAGEREF _Toc178966156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318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3104" w:rsidRDefault="00B501B9">
          <w:pPr>
            <w:pStyle w:val="11"/>
            <w:tabs>
              <w:tab w:val="right" w:leader="dot" w:pos="9488"/>
            </w:tabs>
            <w:rPr>
              <w:rFonts w:asciiTheme="minorHAnsi" w:hAnsiTheme="minorHAnsi" w:cstheme="minorBidi"/>
              <w:bCs w:val="0"/>
              <w:iCs w:val="0"/>
              <w:noProof/>
              <w:color w:val="auto"/>
              <w:sz w:val="22"/>
              <w:szCs w:val="22"/>
              <w:lang w:eastAsia="ru-RU"/>
            </w:rPr>
          </w:pPr>
          <w:hyperlink w:anchor="_Toc178966157" w:history="1">
            <w:r w:rsidR="00363104" w:rsidRPr="009C4CC4">
              <w:rPr>
                <w:rStyle w:val="ae"/>
                <w:noProof/>
              </w:rPr>
              <w:t>ГЛАВА 2. НАЛОГОВЫЕ СТАВКИ В ЗАРУБЕЖНЫХ СТРАНАХ</w:t>
            </w:r>
            <w:r w:rsidR="003631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63104">
              <w:rPr>
                <w:noProof/>
                <w:webHidden/>
              </w:rPr>
              <w:instrText xml:space="preserve"> PAGEREF _Toc178966157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318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3104" w:rsidRDefault="00B501B9">
          <w:pPr>
            <w:pStyle w:val="21"/>
            <w:tabs>
              <w:tab w:val="right" w:leader="dot" w:pos="9488"/>
            </w:tabs>
            <w:rPr>
              <w:rFonts w:asciiTheme="minorHAnsi" w:hAnsiTheme="minorHAnsi" w:cstheme="minorBidi"/>
              <w:bCs w:val="0"/>
              <w:noProof/>
              <w:color w:val="auto"/>
              <w:sz w:val="22"/>
              <w:lang w:eastAsia="ru-RU"/>
            </w:rPr>
          </w:pPr>
          <w:hyperlink w:anchor="_Toc178966158" w:history="1">
            <w:r w:rsidR="00363104" w:rsidRPr="009C4CC4">
              <w:rPr>
                <w:rStyle w:val="ae"/>
                <w:noProof/>
              </w:rPr>
              <w:t>2.1. Налоговая система Соединенных Штатов Америки</w:t>
            </w:r>
            <w:r w:rsidR="003631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63104">
              <w:rPr>
                <w:noProof/>
                <w:webHidden/>
              </w:rPr>
              <w:instrText xml:space="preserve"> PAGEREF _Toc178966158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318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3104" w:rsidRDefault="00B501B9">
          <w:pPr>
            <w:pStyle w:val="21"/>
            <w:tabs>
              <w:tab w:val="right" w:leader="dot" w:pos="9488"/>
            </w:tabs>
            <w:rPr>
              <w:rFonts w:asciiTheme="minorHAnsi" w:hAnsiTheme="minorHAnsi" w:cstheme="minorBidi"/>
              <w:bCs w:val="0"/>
              <w:noProof/>
              <w:color w:val="auto"/>
              <w:sz w:val="22"/>
              <w:lang w:eastAsia="ru-RU"/>
            </w:rPr>
          </w:pPr>
          <w:hyperlink w:anchor="_Toc178966159" w:history="1">
            <w:r w:rsidR="00363104" w:rsidRPr="009C4CC4">
              <w:rPr>
                <w:rStyle w:val="ae"/>
                <w:noProof/>
              </w:rPr>
              <w:t>2.2. Налоговые системы стран Европейского Союза на примере Германии и Швеции</w:t>
            </w:r>
            <w:r w:rsidR="003631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63104">
              <w:rPr>
                <w:noProof/>
                <w:webHidden/>
              </w:rPr>
              <w:instrText xml:space="preserve"> PAGEREF _Toc178966159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318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3104" w:rsidRDefault="00B501B9">
          <w:pPr>
            <w:pStyle w:val="21"/>
            <w:tabs>
              <w:tab w:val="right" w:leader="dot" w:pos="9488"/>
            </w:tabs>
            <w:rPr>
              <w:rFonts w:asciiTheme="minorHAnsi" w:hAnsiTheme="minorHAnsi" w:cstheme="minorBidi"/>
              <w:bCs w:val="0"/>
              <w:noProof/>
              <w:color w:val="auto"/>
              <w:sz w:val="22"/>
              <w:lang w:eastAsia="ru-RU"/>
            </w:rPr>
          </w:pPr>
          <w:hyperlink w:anchor="_Toc178966160" w:history="1">
            <w:r w:rsidR="00363104" w:rsidRPr="009C4CC4">
              <w:rPr>
                <w:rStyle w:val="ae"/>
                <w:noProof/>
              </w:rPr>
              <w:t>2.3. Сравнительный анализ налоговых систем</w:t>
            </w:r>
            <w:r w:rsidR="003631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63104">
              <w:rPr>
                <w:noProof/>
                <w:webHidden/>
              </w:rPr>
              <w:instrText xml:space="preserve"> PAGEREF _Toc178966160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318F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3104" w:rsidRDefault="00B501B9">
          <w:pPr>
            <w:pStyle w:val="11"/>
            <w:tabs>
              <w:tab w:val="right" w:leader="dot" w:pos="9488"/>
            </w:tabs>
            <w:rPr>
              <w:rFonts w:asciiTheme="minorHAnsi" w:hAnsiTheme="minorHAnsi" w:cstheme="minorBidi"/>
              <w:bCs w:val="0"/>
              <w:iCs w:val="0"/>
              <w:noProof/>
              <w:color w:val="auto"/>
              <w:sz w:val="22"/>
              <w:szCs w:val="22"/>
              <w:lang w:eastAsia="ru-RU"/>
            </w:rPr>
          </w:pPr>
          <w:hyperlink w:anchor="_Toc178966161" w:history="1">
            <w:r w:rsidR="00363104" w:rsidRPr="009C4CC4">
              <w:rPr>
                <w:rStyle w:val="ae"/>
                <w:noProof/>
              </w:rPr>
              <w:t>ЗАКЛЮЧЕНИЕ</w:t>
            </w:r>
            <w:r w:rsidR="003631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63104">
              <w:rPr>
                <w:noProof/>
                <w:webHidden/>
              </w:rPr>
              <w:instrText xml:space="preserve"> PAGEREF _Toc178966161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318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3104" w:rsidRDefault="00B501B9">
          <w:pPr>
            <w:pStyle w:val="11"/>
            <w:tabs>
              <w:tab w:val="right" w:leader="dot" w:pos="9488"/>
            </w:tabs>
            <w:rPr>
              <w:rFonts w:asciiTheme="minorHAnsi" w:hAnsiTheme="minorHAnsi" w:cstheme="minorBidi"/>
              <w:bCs w:val="0"/>
              <w:iCs w:val="0"/>
              <w:noProof/>
              <w:color w:val="auto"/>
              <w:sz w:val="22"/>
              <w:szCs w:val="22"/>
              <w:lang w:eastAsia="ru-RU"/>
            </w:rPr>
          </w:pPr>
          <w:hyperlink w:anchor="_Toc178966162" w:history="1">
            <w:r w:rsidR="00363104" w:rsidRPr="009C4CC4">
              <w:rPr>
                <w:rStyle w:val="ae"/>
                <w:noProof/>
              </w:rPr>
              <w:t>СПИСОК ИСПОЛЬЗОВАННОЙ ЛИТЕРАТУРЫ</w:t>
            </w:r>
            <w:r w:rsidR="003631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63104">
              <w:rPr>
                <w:noProof/>
                <w:webHidden/>
              </w:rPr>
              <w:instrText xml:space="preserve"> PAGEREF _Toc178966162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318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0256" w:rsidRPr="00013998" w:rsidRDefault="00B501B9" w:rsidP="00013998">
          <w:pPr>
            <w:pStyle w:val="11"/>
            <w:tabs>
              <w:tab w:val="right" w:leader="dot" w:pos="9339"/>
            </w:tabs>
            <w:rPr>
              <w:rFonts w:asciiTheme="minorHAnsi" w:hAnsiTheme="minorHAnsi" w:cstheme="minorBidi"/>
              <w:bCs w:val="0"/>
              <w:iCs w:val="0"/>
              <w:noProof/>
              <w:color w:val="auto"/>
              <w:sz w:val="24"/>
              <w:lang w:eastAsia="ru-RU"/>
            </w:rPr>
          </w:pPr>
          <w:r>
            <w:rPr>
              <w:b/>
              <w:bCs w:val="0"/>
              <w:noProof/>
            </w:rPr>
            <w:fldChar w:fldCharType="end"/>
          </w:r>
        </w:p>
      </w:sdtContent>
    </w:sdt>
    <w:p w:rsidR="00A90256" w:rsidRDefault="00A90256">
      <w:pPr>
        <w:spacing w:after="0" w:line="240" w:lineRule="auto"/>
        <w:ind w:firstLine="0"/>
        <w:jc w:val="left"/>
        <w:sectPr w:rsidR="00A90256" w:rsidSect="00D30D2F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0" w:h="16840"/>
          <w:pgMar w:top="1134" w:right="701" w:bottom="1134" w:left="1701" w:header="708" w:footer="708" w:gutter="0"/>
          <w:cols w:space="708"/>
          <w:docGrid w:linePitch="381"/>
        </w:sectPr>
      </w:pPr>
      <w:r>
        <w:br w:type="page"/>
      </w:r>
    </w:p>
    <w:p w:rsidR="000032CB" w:rsidRPr="000032CB" w:rsidRDefault="00013998" w:rsidP="000032CB">
      <w:pPr>
        <w:pStyle w:val="1"/>
      </w:pPr>
      <w:bookmarkStart w:id="0" w:name="_Toc178966152"/>
      <w:r>
        <w:lastRenderedPageBreak/>
        <w:t>ВВЕДЕНИЕ</w:t>
      </w:r>
      <w:bookmarkEnd w:id="0"/>
    </w:p>
    <w:p w:rsidR="00013998" w:rsidRPr="00013998" w:rsidRDefault="00013998" w:rsidP="00160E5E">
      <w:pPr>
        <w:spacing w:after="0"/>
      </w:pPr>
      <w:r w:rsidRPr="00013998">
        <w:t>Налогообложение — это не просто сбор средств в казну государства, а сложный механизм, который влияет на экономические процессы, формирует социальную политику и определяет уровень благосостояния населения. В мировой практике налоги являются основным источником финансирования государственных расходов, которые включают здравоохранение, образование, социальную защиту, инфраструктуру и другие ключевые сферы жизни. От того, как организована налоговая система в стране, зависят многие аспекты её экономической устойчивости, конкурентоспособности на международной арене и уровня жизни граждан.</w:t>
      </w:r>
    </w:p>
    <w:p w:rsidR="00013998" w:rsidRPr="00013998" w:rsidRDefault="00013998" w:rsidP="00160E5E">
      <w:pPr>
        <w:spacing w:after="0"/>
      </w:pPr>
      <w:r w:rsidRPr="00013998">
        <w:t>В этой работе мы рассмотрим налоговые системы России и ряда зарубежных стран, сделав акцент на сравнительном анализе налоговых ставок. Важность такого анализа заключается в том, что налоги — это инструмент, с помощью которого государство влияет на перераспределение ресурсов и поддерживает общественное равновесие. Пропорциональные, прогрессивные или регрессивные ставки налогообложения оказывают различное влияние на доходы граждан и корпоративный сектор, стимулируя или ограничивая развитие бизнеса, инвестиций и предпринимательской активности.</w:t>
      </w:r>
    </w:p>
    <w:p w:rsidR="00013998" w:rsidRPr="00013998" w:rsidRDefault="00013998" w:rsidP="00160E5E">
      <w:pPr>
        <w:spacing w:after="0"/>
      </w:pPr>
      <w:r w:rsidRPr="00013998">
        <w:t xml:space="preserve">Российская налоговая система за последние три десятилетия претерпела значительные изменения. После распада Советского Союза страна перешла от централизованной плановой экономики к рыночной, что потребовало полной перестройки налоговых механизмов. С принятием Налогового кодекса в начале 2000-х годов была введена упрощённая пропорциональная система налогообложения доходов физических лиц, что стало знаковым событием для страны. Ставка НДФЛ в 13%, установленная в 2001 году, до недавнего времени оставалась одной из самых низких в мире среди стран с развивающейся и развитой экономикой. Однако последние </w:t>
      </w:r>
      <w:r w:rsidRPr="00013998">
        <w:lastRenderedPageBreak/>
        <w:t>изменения в налоговой политике, такие как введение прогрессивной шкалы для граждан с высокими доходами, отражают попытки правительства адаптировать налоговую систему к современным экономическим вызовам и социальной справедливости.</w:t>
      </w:r>
    </w:p>
    <w:p w:rsidR="00013998" w:rsidRPr="00013998" w:rsidRDefault="00013998" w:rsidP="00160E5E">
      <w:pPr>
        <w:spacing w:after="0"/>
      </w:pPr>
      <w:r w:rsidRPr="00013998">
        <w:t>Сравнение налоговой системы России с зарубежными странами, такими как США и государства Европы, позволяет увидеть ключевые различия в подходах к налогообложению. В странах с прогрессивной системой налогообложения более высокая налоговая нагрузка на богатые слои населения направлена на сокращение социального неравенства. В таких странах, как Швеция, Германия или Франция, налоговые ставки на доходы могут превышать 50%, и эти средства используются для финансирования обширных социальных программ. В США, напротив, налоговая политика направлена на стимулирование частной инициативы и поддержание экономической активности через более низкие ставки налогов и гибкую систему налогообложения.</w:t>
      </w:r>
    </w:p>
    <w:p w:rsidR="00013998" w:rsidRPr="00013998" w:rsidRDefault="00013998" w:rsidP="00160E5E">
      <w:pPr>
        <w:spacing w:after="0"/>
      </w:pPr>
      <w:r w:rsidRPr="00013998">
        <w:t>Таким образом, цель данной работы — рассмотреть, как различные налоговые системы влияют на экономику, благосостояние граждан и формирование общественных благ. Мы исследуем, насколько эффективно различные подходы решают вопросы социального равенства, поддерживают предпринимательство и экономический рост. В ходе исследования мы сопоставим налоговые системы России, США и стран Европы, проанализируем их преимущества и недостатки, а также рассмотрим возможные пути совершенствования налоговой политики в России.</w:t>
      </w:r>
    </w:p>
    <w:p w:rsidR="00C36CF9" w:rsidRPr="009C5CB8" w:rsidRDefault="00013998" w:rsidP="00160E5E">
      <w:pPr>
        <w:spacing w:after="0"/>
      </w:pPr>
      <w:r w:rsidRPr="00013998">
        <w:t>На основе данных сравнительного анализа налоговых ставок будут сделаны выводы о том, каким образом налоговая политика может стать более справедливой и эффективной для каждой из рассматриваемых стран.</w:t>
      </w:r>
    </w:p>
    <w:p w:rsidR="00A90256" w:rsidRPr="00C50B88" w:rsidRDefault="00C36CF9" w:rsidP="00C36CF9">
      <w:pPr>
        <w:pStyle w:val="1"/>
      </w:pPr>
      <w:bookmarkStart w:id="1" w:name="_Toc178966153"/>
      <w:r>
        <w:lastRenderedPageBreak/>
        <w:t>Г</w:t>
      </w:r>
      <w:r w:rsidR="007A4D1E">
        <w:t>ЛАВА 1. НАЛОГОВЫЕ СТАВКИ В РОССИИ</w:t>
      </w:r>
      <w:bookmarkEnd w:id="1"/>
    </w:p>
    <w:p w:rsidR="00C36CF9" w:rsidRDefault="007A4D1E" w:rsidP="00160E5E">
      <w:pPr>
        <w:pStyle w:val="2"/>
        <w:numPr>
          <w:ilvl w:val="1"/>
          <w:numId w:val="18"/>
        </w:numPr>
        <w:ind w:left="0" w:firstLine="709"/>
      </w:pPr>
      <w:bookmarkStart w:id="2" w:name="_Toc178966154"/>
      <w:r>
        <w:t>Исторический контекст формирования налоговой системы России</w:t>
      </w:r>
      <w:bookmarkEnd w:id="2"/>
    </w:p>
    <w:p w:rsidR="007A4D1E" w:rsidRPr="007A4D1E" w:rsidRDefault="007A4D1E" w:rsidP="00160E5E">
      <w:pPr>
        <w:spacing w:after="0"/>
      </w:pPr>
      <w:r w:rsidRPr="007A4D1E">
        <w:t>Налоговая система России прошла долгий путь становления и трансформации, начиная с периода Российской Империи, затем Советского Союза и заканчивая современным этапом рыночной экономики. Начиная с 1990-х годов, в стране проводились налоговые реформы, направленные на создание простой и прозрачной налоговой системы. Ключевым событием стало принятие Налогового кодекса в 2001 году, который установил пропорциональную ставку налога на доходы физических лиц (НДФЛ) в размере 13%. Это решение было направлено на стимулирование экономической активности и повышение собираемости налогов.</w:t>
      </w:r>
    </w:p>
    <w:p w:rsidR="007A4D1E" w:rsidRPr="007A4D1E" w:rsidRDefault="007A4D1E" w:rsidP="00160E5E">
      <w:pPr>
        <w:spacing w:after="0"/>
      </w:pPr>
      <w:r w:rsidRPr="007A4D1E">
        <w:t>Налоговая система России сочетает в себе элементы как пропорционального, так и прогрессивного налогообложения. Налог на доходы физических лиц (НДФЛ) до 2021 года оставался единым для всех граждан, вне зависимости от их доходов. Однако в 2021 году была введена прогрессивная ставка налога — 15% для доходов свыше 5 миллионов рублей в год. Это было сделано для усиления социальной справедливости и повышения налогообложения богатых слоев населения</w:t>
      </w:r>
      <w:r w:rsidR="009C5CB8" w:rsidRPr="009C5CB8">
        <w:t>[</w:t>
      </w:r>
      <w:r w:rsidR="009C5CB8">
        <w:t>1</w:t>
      </w:r>
      <w:r w:rsidR="009C5CB8" w:rsidRPr="009C5CB8">
        <w:t>][</w:t>
      </w:r>
      <w:r w:rsidR="009C5CB8">
        <w:t>2</w:t>
      </w:r>
      <w:r w:rsidR="009C5CB8" w:rsidRPr="009C5CB8">
        <w:t>]</w:t>
      </w:r>
      <w:r w:rsidRPr="007A4D1E">
        <w:t>.</w:t>
      </w:r>
    </w:p>
    <w:p w:rsidR="00C36CF9" w:rsidRDefault="007A4D1E" w:rsidP="00160E5E">
      <w:pPr>
        <w:pStyle w:val="2"/>
        <w:numPr>
          <w:ilvl w:val="1"/>
          <w:numId w:val="18"/>
        </w:numPr>
        <w:spacing w:before="240" w:after="0"/>
        <w:ind w:left="0" w:firstLine="709"/>
      </w:pPr>
      <w:bookmarkStart w:id="3" w:name="_Toc178966155"/>
      <w:r>
        <w:t>Современная налоговая система и налоговые ставки в России</w:t>
      </w:r>
      <w:bookmarkEnd w:id="3"/>
    </w:p>
    <w:p w:rsidR="007A4D1E" w:rsidRPr="007A4D1E" w:rsidRDefault="007A4D1E" w:rsidP="00160E5E">
      <w:pPr>
        <w:spacing w:after="0"/>
      </w:pPr>
      <w:r w:rsidRPr="007A4D1E">
        <w:t>На данный момент российская налоговая система включает следующие ключевые элементы:</w:t>
      </w:r>
    </w:p>
    <w:p w:rsidR="007A4D1E" w:rsidRPr="007A4D1E" w:rsidRDefault="007A4D1E" w:rsidP="00160E5E">
      <w:pPr>
        <w:pStyle w:val="af"/>
        <w:numPr>
          <w:ilvl w:val="0"/>
          <w:numId w:val="21"/>
        </w:numPr>
        <w:spacing w:after="0"/>
        <w:ind w:left="0" w:firstLine="709"/>
      </w:pPr>
      <w:r w:rsidRPr="007A4D1E">
        <w:t>Налог на доходы физических лиц (НДФЛ).</w:t>
      </w:r>
    </w:p>
    <w:p w:rsidR="007A4D1E" w:rsidRPr="007A4D1E" w:rsidRDefault="007A4D1E" w:rsidP="00160E5E">
      <w:pPr>
        <w:pStyle w:val="af"/>
        <w:numPr>
          <w:ilvl w:val="0"/>
          <w:numId w:val="21"/>
        </w:numPr>
        <w:spacing w:after="0"/>
        <w:ind w:left="0" w:firstLine="709"/>
      </w:pPr>
      <w:r w:rsidRPr="007A4D1E">
        <w:t>Налог на прибыль организаций</w:t>
      </w:r>
      <w:r w:rsidR="00C40549">
        <w:t xml:space="preserve"> (НПО)</w:t>
      </w:r>
      <w:r w:rsidRPr="007A4D1E">
        <w:t>.</w:t>
      </w:r>
    </w:p>
    <w:p w:rsidR="007A4D1E" w:rsidRPr="007A4D1E" w:rsidRDefault="007A4D1E" w:rsidP="00160E5E">
      <w:pPr>
        <w:pStyle w:val="af"/>
        <w:numPr>
          <w:ilvl w:val="0"/>
          <w:numId w:val="21"/>
        </w:numPr>
        <w:spacing w:after="0"/>
        <w:ind w:left="0" w:firstLine="709"/>
      </w:pPr>
      <w:r w:rsidRPr="007A4D1E">
        <w:t>Налог на добавленную стоимость (НДС).</w:t>
      </w:r>
    </w:p>
    <w:p w:rsidR="007A4D1E" w:rsidRPr="007A4D1E" w:rsidRDefault="007A4D1E" w:rsidP="00160E5E">
      <w:pPr>
        <w:pStyle w:val="af"/>
        <w:numPr>
          <w:ilvl w:val="0"/>
          <w:numId w:val="21"/>
        </w:numPr>
        <w:spacing w:after="0"/>
        <w:ind w:left="0" w:firstLine="709"/>
      </w:pPr>
      <w:r w:rsidRPr="007A4D1E">
        <w:t>Страховые взносы.</w:t>
      </w:r>
    </w:p>
    <w:p w:rsidR="00AA41A8" w:rsidRDefault="00AA41A8" w:rsidP="00160E5E">
      <w:pPr>
        <w:spacing w:after="0"/>
      </w:pPr>
      <w:r>
        <w:lastRenderedPageBreak/>
        <w:t>В таблице 1 запечатлены ключевые налоговые ставки в России в 2024 году.</w:t>
      </w:r>
    </w:p>
    <w:p w:rsidR="007A4D1E" w:rsidRPr="007A4D1E" w:rsidRDefault="007A4D1E" w:rsidP="00160E5E">
      <w:pPr>
        <w:spacing w:after="0"/>
      </w:pPr>
      <w:r w:rsidRPr="007A4D1E">
        <w:t>Таблица 1</w:t>
      </w:r>
      <w:r w:rsidR="00AA41A8">
        <w:t>.К</w:t>
      </w:r>
      <w:r w:rsidRPr="007A4D1E">
        <w:t>лючевые налоговые ставки в России</w:t>
      </w:r>
    </w:p>
    <w:tbl>
      <w:tblPr>
        <w:tblW w:w="10144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5"/>
        <w:gridCol w:w="1701"/>
        <w:gridCol w:w="5978"/>
      </w:tblGrid>
      <w:tr w:rsidR="007A4D1E" w:rsidRPr="007A4D1E" w:rsidTr="00195E29">
        <w:trPr>
          <w:tblHeader/>
          <w:tblCellSpacing w:w="15" w:type="dxa"/>
          <w:jc w:val="center"/>
        </w:trPr>
        <w:tc>
          <w:tcPr>
            <w:tcW w:w="2420" w:type="dxa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4D1E">
              <w:rPr>
                <w:b/>
                <w:sz w:val="24"/>
                <w:szCs w:val="24"/>
              </w:rPr>
              <w:t>Вид налога</w:t>
            </w:r>
          </w:p>
        </w:tc>
        <w:tc>
          <w:tcPr>
            <w:tcW w:w="1671" w:type="dxa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4D1E">
              <w:rPr>
                <w:b/>
                <w:sz w:val="24"/>
                <w:szCs w:val="24"/>
              </w:rPr>
              <w:t>Ставка</w:t>
            </w:r>
          </w:p>
        </w:tc>
        <w:tc>
          <w:tcPr>
            <w:tcW w:w="0" w:type="auto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4D1E">
              <w:rPr>
                <w:b/>
                <w:sz w:val="24"/>
                <w:szCs w:val="24"/>
              </w:rPr>
              <w:t>Комментарий</w:t>
            </w:r>
          </w:p>
        </w:tc>
      </w:tr>
      <w:tr w:rsidR="007A4D1E" w:rsidRPr="007A4D1E" w:rsidTr="00195E29">
        <w:trPr>
          <w:tblCellSpacing w:w="15" w:type="dxa"/>
          <w:jc w:val="center"/>
        </w:trPr>
        <w:tc>
          <w:tcPr>
            <w:tcW w:w="2420" w:type="dxa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Налог на доходы физических лиц (НДФЛ)</w:t>
            </w:r>
          </w:p>
        </w:tc>
        <w:tc>
          <w:tcPr>
            <w:tcW w:w="1671" w:type="dxa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13% / 15%</w:t>
            </w:r>
          </w:p>
        </w:tc>
        <w:tc>
          <w:tcPr>
            <w:tcW w:w="0" w:type="auto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13% для доходов до 5 млн рублей в год, 15% — дл</w:t>
            </w:r>
            <w:r w:rsidR="00AA41A8">
              <w:rPr>
                <w:sz w:val="24"/>
                <w:szCs w:val="24"/>
              </w:rPr>
              <w:t>я доходов свыше 5 млн рублей</w:t>
            </w:r>
            <w:r w:rsidRPr="007A4D1E">
              <w:rPr>
                <w:sz w:val="24"/>
                <w:szCs w:val="24"/>
              </w:rPr>
              <w:t>.</w:t>
            </w:r>
          </w:p>
        </w:tc>
      </w:tr>
      <w:tr w:rsidR="007A4D1E" w:rsidRPr="007A4D1E" w:rsidTr="00195E29">
        <w:trPr>
          <w:tblCellSpacing w:w="15" w:type="dxa"/>
          <w:jc w:val="center"/>
        </w:trPr>
        <w:tc>
          <w:tcPr>
            <w:tcW w:w="2420" w:type="dxa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Налог на прибыль организаций</w:t>
            </w:r>
            <w:r w:rsidR="00C40549">
              <w:rPr>
                <w:sz w:val="24"/>
                <w:szCs w:val="24"/>
              </w:rPr>
              <w:t xml:space="preserve"> (НПО)</w:t>
            </w:r>
          </w:p>
        </w:tc>
        <w:tc>
          <w:tcPr>
            <w:tcW w:w="1671" w:type="dxa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20%</w:t>
            </w:r>
          </w:p>
        </w:tc>
        <w:tc>
          <w:tcPr>
            <w:tcW w:w="0" w:type="auto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Включает федеральную часть (3%) и региональную (17%).</w:t>
            </w:r>
          </w:p>
        </w:tc>
      </w:tr>
      <w:tr w:rsidR="007A4D1E" w:rsidRPr="007A4D1E" w:rsidTr="00195E29">
        <w:trPr>
          <w:tblCellSpacing w:w="15" w:type="dxa"/>
          <w:jc w:val="center"/>
        </w:trPr>
        <w:tc>
          <w:tcPr>
            <w:tcW w:w="2420" w:type="dxa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Налог на добавленную стоимость (НДС)</w:t>
            </w:r>
          </w:p>
        </w:tc>
        <w:tc>
          <w:tcPr>
            <w:tcW w:w="1671" w:type="dxa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20%</w:t>
            </w:r>
          </w:p>
        </w:tc>
        <w:tc>
          <w:tcPr>
            <w:tcW w:w="0" w:type="auto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Основная ставка НДС, пониженные ставки для определенных видов деятельности (10%, 0%).</w:t>
            </w:r>
          </w:p>
        </w:tc>
      </w:tr>
      <w:tr w:rsidR="007A4D1E" w:rsidRPr="007A4D1E" w:rsidTr="00195E29">
        <w:trPr>
          <w:tblCellSpacing w:w="15" w:type="dxa"/>
          <w:jc w:val="center"/>
        </w:trPr>
        <w:tc>
          <w:tcPr>
            <w:tcW w:w="2420" w:type="dxa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Страховые взносы</w:t>
            </w:r>
          </w:p>
        </w:tc>
        <w:tc>
          <w:tcPr>
            <w:tcW w:w="1671" w:type="dxa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30%</w:t>
            </w:r>
          </w:p>
        </w:tc>
        <w:tc>
          <w:tcPr>
            <w:tcW w:w="0" w:type="auto"/>
            <w:vAlign w:val="center"/>
            <w:hideMark/>
          </w:tcPr>
          <w:p w:rsidR="007A4D1E" w:rsidRPr="007A4D1E" w:rsidRDefault="007A4D1E" w:rsidP="00160E5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A4D1E">
              <w:rPr>
                <w:sz w:val="24"/>
                <w:szCs w:val="24"/>
              </w:rPr>
              <w:t>Включает взносы на социальное страхование, медицинское и пенсионное обеспечение.</w:t>
            </w:r>
          </w:p>
        </w:tc>
      </w:tr>
    </w:tbl>
    <w:p w:rsidR="00052126" w:rsidRDefault="00AA41A8" w:rsidP="00121B08">
      <w:pPr>
        <w:spacing w:before="120" w:after="0"/>
      </w:pPr>
      <w:r>
        <w:t>Проанализировав данные из таблицы 1, можно сделать вывод, что о</w:t>
      </w:r>
      <w:r w:rsidR="007A4D1E" w:rsidRPr="007A4D1E">
        <w:t>сновной налог на доходы физических лиц в России остаётся относительно низким (13%), что делает его привлекательным с точки зрения налоговой нагрузки на граждан. Однако введение прогрессивной шкалы (15% для доходов свыше 5 миллионов рублей) сигнализирует о стремлении государства перераспределять доходы более равномерно, в частности, для снижения социального неравенства.Налог на прибыль организаций в 20% соответствует средней ставке среди развитых и развивающихся стран, хотя в странах Европы налоговая нагру</w:t>
      </w:r>
      <w:r>
        <w:t>зка на бизнес зачастую выше</w:t>
      </w:r>
      <w:r w:rsidR="007A4D1E" w:rsidRPr="007A4D1E">
        <w:t>.Ставка НДС в 20% также является средней по мировым стандартам, однако пониженные ставки для определенных категорий товаров (например, на продукты питания и лекарства) позволяют поддерживать доступность базовых товаров для н</w:t>
      </w:r>
      <w:r w:rsidR="00052126">
        <w:t>аселения</w:t>
      </w:r>
      <w:r w:rsidR="009C5CB8" w:rsidRPr="009C5CB8">
        <w:t>[1][2]</w:t>
      </w:r>
      <w:r w:rsidR="007A4D1E" w:rsidRPr="007A4D1E">
        <w:t>.</w:t>
      </w:r>
    </w:p>
    <w:p w:rsidR="00121B08" w:rsidRPr="007A4D1E" w:rsidRDefault="00121B08" w:rsidP="00121B08">
      <w:pPr>
        <w:spacing w:before="120" w:after="0"/>
      </w:pPr>
    </w:p>
    <w:p w:rsidR="00C36CF9" w:rsidRDefault="007A4D1E" w:rsidP="00121B08">
      <w:pPr>
        <w:pStyle w:val="2"/>
        <w:numPr>
          <w:ilvl w:val="1"/>
          <w:numId w:val="18"/>
        </w:numPr>
        <w:ind w:left="0" w:firstLine="709"/>
      </w:pPr>
      <w:bookmarkStart w:id="4" w:name="_Toc178966156"/>
      <w:r>
        <w:t>Эффективность налоговой политики России</w:t>
      </w:r>
      <w:bookmarkEnd w:id="4"/>
    </w:p>
    <w:p w:rsidR="00052126" w:rsidRPr="00052126" w:rsidRDefault="00052126" w:rsidP="00121B08">
      <w:pPr>
        <w:spacing w:after="0"/>
      </w:pPr>
      <w:r w:rsidRPr="00052126">
        <w:t xml:space="preserve">Введение прогрессивной шкалы налогообложения в России привело к положительным изменениям в плане социальной справедливости. До 2021 года налоговая система критиковалась за то, что она не учитывала разницу в доходах населения, и богатые граждане платили тот же процент от дохода, </w:t>
      </w:r>
      <w:r w:rsidRPr="00052126">
        <w:lastRenderedPageBreak/>
        <w:t>что и те, кто зарабатывал значительно меньше. Прогрессивная шкала помогла частично устранить это несоответствие, хотя многие эксперты отмечают, что данная мера пока недостаточно значительна для ус</w:t>
      </w:r>
      <w:r>
        <w:t>транения проблем неравенства</w:t>
      </w:r>
      <w:r w:rsidRPr="00052126">
        <w:t>.</w:t>
      </w:r>
    </w:p>
    <w:p w:rsidR="00052126" w:rsidRDefault="00052126" w:rsidP="00121B08">
      <w:r w:rsidRPr="00052126">
        <w:t xml:space="preserve">Оценка эффективности налоговой системы также может быть представлена через отношение собираемости налогов к ВВП. В России этот показатель составляет около 33% ВВП, что ниже среднего уровня для стран Европейского Союза, где налоговая нагрузка достигает 40-50% </w:t>
      </w:r>
      <w:r>
        <w:t>ВВП</w:t>
      </w:r>
      <w:r w:rsidRPr="00052126">
        <w:t>. Это означает, что в России остаются значительные возможности для увеличения налоговых поступлений, особенно за счёт усиления контроля за уплатой налогов и расширения налоговой базы.</w:t>
      </w:r>
    </w:p>
    <w:p w:rsidR="00052126" w:rsidRPr="00052126" w:rsidRDefault="00052126" w:rsidP="00121B08">
      <w:pPr>
        <w:spacing w:after="0"/>
      </w:pPr>
      <w:r w:rsidRPr="00052126">
        <w:t>Таблица 2</w:t>
      </w:r>
      <w:r>
        <w:t>.С</w:t>
      </w:r>
      <w:r w:rsidRPr="00052126">
        <w:t>равнение налоговой нагрузки в России и д</w:t>
      </w:r>
      <w:r>
        <w:t>ругих странах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3"/>
        <w:gridCol w:w="2550"/>
        <w:gridCol w:w="1702"/>
        <w:gridCol w:w="2268"/>
        <w:gridCol w:w="1466"/>
      </w:tblGrid>
      <w:tr w:rsidR="00052126" w:rsidRPr="00052126" w:rsidTr="00195E29">
        <w:trPr>
          <w:tblHeader/>
          <w:tblCellSpacing w:w="15" w:type="dxa"/>
          <w:jc w:val="center"/>
        </w:trPr>
        <w:tc>
          <w:tcPr>
            <w:tcW w:w="1428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2126">
              <w:rPr>
                <w:b/>
                <w:sz w:val="24"/>
                <w:szCs w:val="24"/>
              </w:rPr>
              <w:t>Страна</w:t>
            </w:r>
          </w:p>
        </w:tc>
        <w:tc>
          <w:tcPr>
            <w:tcW w:w="2520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2126">
              <w:rPr>
                <w:b/>
                <w:sz w:val="24"/>
                <w:szCs w:val="24"/>
              </w:rPr>
              <w:t>Налоговая нагрузка (% от ВВП)</w:t>
            </w:r>
          </w:p>
        </w:tc>
        <w:tc>
          <w:tcPr>
            <w:tcW w:w="1672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2126">
              <w:rPr>
                <w:b/>
                <w:sz w:val="24"/>
                <w:szCs w:val="24"/>
              </w:rPr>
              <w:t xml:space="preserve">Ставка НДФЛ </w:t>
            </w:r>
          </w:p>
        </w:tc>
        <w:tc>
          <w:tcPr>
            <w:tcW w:w="2238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2126">
              <w:rPr>
                <w:b/>
                <w:sz w:val="24"/>
                <w:szCs w:val="24"/>
              </w:rPr>
              <w:t>Ставка налога на прибыль</w:t>
            </w:r>
          </w:p>
        </w:tc>
        <w:tc>
          <w:tcPr>
            <w:tcW w:w="1421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Ставка </w:t>
            </w:r>
            <w:r w:rsidRPr="00052126">
              <w:rPr>
                <w:b/>
                <w:sz w:val="24"/>
                <w:szCs w:val="24"/>
              </w:rPr>
              <w:t xml:space="preserve">НДС </w:t>
            </w:r>
          </w:p>
        </w:tc>
      </w:tr>
      <w:tr w:rsidR="00052126" w:rsidRPr="00052126" w:rsidTr="00195E29">
        <w:trPr>
          <w:tblCellSpacing w:w="15" w:type="dxa"/>
          <w:jc w:val="center"/>
        </w:trPr>
        <w:tc>
          <w:tcPr>
            <w:tcW w:w="1428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Россия</w:t>
            </w:r>
          </w:p>
        </w:tc>
        <w:tc>
          <w:tcPr>
            <w:tcW w:w="2520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33</w:t>
            </w:r>
          </w:p>
        </w:tc>
        <w:tc>
          <w:tcPr>
            <w:tcW w:w="1672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13% / 15%</w:t>
            </w:r>
          </w:p>
        </w:tc>
        <w:tc>
          <w:tcPr>
            <w:tcW w:w="2238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20%</w:t>
            </w:r>
          </w:p>
        </w:tc>
        <w:tc>
          <w:tcPr>
            <w:tcW w:w="1421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20%</w:t>
            </w:r>
          </w:p>
        </w:tc>
      </w:tr>
      <w:tr w:rsidR="00052126" w:rsidRPr="00052126" w:rsidTr="00195E29">
        <w:trPr>
          <w:tblCellSpacing w:w="15" w:type="dxa"/>
          <w:jc w:val="center"/>
        </w:trPr>
        <w:tc>
          <w:tcPr>
            <w:tcW w:w="1428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Германия</w:t>
            </w:r>
          </w:p>
        </w:tc>
        <w:tc>
          <w:tcPr>
            <w:tcW w:w="2520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46</w:t>
            </w:r>
          </w:p>
        </w:tc>
        <w:tc>
          <w:tcPr>
            <w:tcW w:w="1672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до 45%</w:t>
            </w:r>
          </w:p>
        </w:tc>
        <w:tc>
          <w:tcPr>
            <w:tcW w:w="2238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30%</w:t>
            </w:r>
          </w:p>
        </w:tc>
        <w:tc>
          <w:tcPr>
            <w:tcW w:w="1421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19%</w:t>
            </w:r>
          </w:p>
        </w:tc>
      </w:tr>
      <w:tr w:rsidR="00052126" w:rsidRPr="00052126" w:rsidTr="00195E29">
        <w:trPr>
          <w:tblCellSpacing w:w="15" w:type="dxa"/>
          <w:jc w:val="center"/>
        </w:trPr>
        <w:tc>
          <w:tcPr>
            <w:tcW w:w="1428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Швеция</w:t>
            </w:r>
          </w:p>
        </w:tc>
        <w:tc>
          <w:tcPr>
            <w:tcW w:w="2520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44</w:t>
            </w:r>
          </w:p>
        </w:tc>
        <w:tc>
          <w:tcPr>
            <w:tcW w:w="1672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до 57%</w:t>
            </w:r>
          </w:p>
        </w:tc>
        <w:tc>
          <w:tcPr>
            <w:tcW w:w="2238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22%</w:t>
            </w:r>
          </w:p>
        </w:tc>
        <w:tc>
          <w:tcPr>
            <w:tcW w:w="1421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25%</w:t>
            </w:r>
          </w:p>
        </w:tc>
      </w:tr>
      <w:tr w:rsidR="00052126" w:rsidRPr="00052126" w:rsidTr="00195E29">
        <w:trPr>
          <w:tblCellSpacing w:w="15" w:type="dxa"/>
          <w:jc w:val="center"/>
        </w:trPr>
        <w:tc>
          <w:tcPr>
            <w:tcW w:w="1428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США</w:t>
            </w:r>
          </w:p>
        </w:tc>
        <w:tc>
          <w:tcPr>
            <w:tcW w:w="2520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26</w:t>
            </w:r>
          </w:p>
        </w:tc>
        <w:tc>
          <w:tcPr>
            <w:tcW w:w="1672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до 37%</w:t>
            </w:r>
          </w:p>
        </w:tc>
        <w:tc>
          <w:tcPr>
            <w:tcW w:w="2238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21%</w:t>
            </w:r>
          </w:p>
        </w:tc>
        <w:tc>
          <w:tcPr>
            <w:tcW w:w="1421" w:type="dxa"/>
            <w:vAlign w:val="center"/>
            <w:hideMark/>
          </w:tcPr>
          <w:p w:rsidR="00052126" w:rsidRPr="00052126" w:rsidRDefault="00052126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2126">
              <w:rPr>
                <w:sz w:val="24"/>
                <w:szCs w:val="24"/>
              </w:rPr>
              <w:t>Нет</w:t>
            </w:r>
          </w:p>
        </w:tc>
      </w:tr>
    </w:tbl>
    <w:p w:rsidR="00052126" w:rsidRPr="00052126" w:rsidRDefault="00052126" w:rsidP="00121B08">
      <w:pPr>
        <w:spacing w:before="120" w:after="0"/>
      </w:pPr>
      <w:r>
        <w:t>Проанализировав данные из таблицы 2, можно сделать вывод, что н</w:t>
      </w:r>
      <w:r w:rsidRPr="00052126">
        <w:t>алоговая нагрузка в России остаётся ниже, чем в развитых странах Европы, что свидетельствует о возможности для увеличения налоговых поступлений.</w:t>
      </w:r>
    </w:p>
    <w:p w:rsidR="00052126" w:rsidRPr="00052126" w:rsidRDefault="00052126" w:rsidP="00121B08">
      <w:pPr>
        <w:spacing w:after="0"/>
      </w:pPr>
      <w:r w:rsidRPr="00052126">
        <w:t>В то время как ставка НДФЛ в России остаётся одной из самых низких, в странах с прогрессивной налоговой системой, таких как Швеция, ставки значительно выше, что позволяет этим странам обеспечивать высокое качество социальных</w:t>
      </w:r>
      <w:r>
        <w:t xml:space="preserve"> услуг и сокращать неравенство</w:t>
      </w:r>
      <w:r w:rsidRPr="00052126">
        <w:t>.США, несмотря на высокие ставки НДФЛ и налога на прибыль, поддерживают низкий уровень налоговой нагрузки на экономику в целом, что способствует росту предпринимательс</w:t>
      </w:r>
      <w:r>
        <w:t>тва и привлечению инвестиций</w:t>
      </w:r>
      <w:r w:rsidR="009C5CB8" w:rsidRPr="009C5CB8">
        <w:t xml:space="preserve"> [1][6][7][8][9]</w:t>
      </w:r>
      <w:r w:rsidRPr="00052126">
        <w:t>.</w:t>
      </w:r>
    </w:p>
    <w:p w:rsidR="00052126" w:rsidRPr="00052126" w:rsidRDefault="00052126" w:rsidP="00052126">
      <w:r w:rsidRPr="00052126">
        <w:lastRenderedPageBreak/>
        <w:t>В первой главе был проанализирован исторический путь развития налоговой системы России, её основные составляющие и современное состояние. Несмотря на относительно низкие налоговые ставки и значительную налоговую нагрузку на граждан и бизнес, Россия имеет потенциал для дальнейшего реформирования налоговой системы. Введение прогрессивного налогообложения на доходы физических лиц является важным шагом в сторону социальной справедливости, однако его влияние пока ограничено. Уровень собираемости налогов и налоговая нагрузка в России ниже, чем в европейских странах, что открывает возможности для улучшения налоговой политики, в том числе через усиление контроля за налоговой базой и расширение налогооблагаемых секторов.</w:t>
      </w:r>
    </w:p>
    <w:p w:rsidR="00C36CF9" w:rsidRPr="00C50B88" w:rsidRDefault="00C36CF9">
      <w:pPr>
        <w:spacing w:after="0" w:line="240" w:lineRule="auto"/>
        <w:ind w:firstLine="0"/>
        <w:jc w:val="left"/>
      </w:pPr>
      <w:r w:rsidRPr="00C50B88">
        <w:br w:type="page"/>
      </w:r>
    </w:p>
    <w:p w:rsidR="00C36CF9" w:rsidRPr="00C50B88" w:rsidRDefault="00DA71C5" w:rsidP="00C36CF9">
      <w:pPr>
        <w:pStyle w:val="1"/>
      </w:pPr>
      <w:bookmarkStart w:id="5" w:name="_Toc178966157"/>
      <w:r>
        <w:lastRenderedPageBreak/>
        <w:t>ГЛАВА 2. НАЛОГОВЫЕ СТАВКИ В ЗАРУБЕЖНЫХ СТРАНАХ</w:t>
      </w:r>
      <w:bookmarkEnd w:id="5"/>
    </w:p>
    <w:p w:rsidR="00C36CF9" w:rsidRDefault="00C36CF9" w:rsidP="00121B08">
      <w:pPr>
        <w:pStyle w:val="2"/>
        <w:ind w:firstLine="709"/>
      </w:pPr>
      <w:bookmarkStart w:id="6" w:name="_Toc178966158"/>
      <w:r>
        <w:t xml:space="preserve">2.1. </w:t>
      </w:r>
      <w:r w:rsidR="00DA71C5">
        <w:t>Налоговая система Соединенных Штатов Америки</w:t>
      </w:r>
      <w:bookmarkEnd w:id="6"/>
    </w:p>
    <w:p w:rsidR="00195E29" w:rsidRPr="00195E29" w:rsidRDefault="00195E29" w:rsidP="00121B08">
      <w:pPr>
        <w:spacing w:after="0"/>
      </w:pPr>
      <w:r w:rsidRPr="00195E29">
        <w:t>Налоговая система США известна своим разнообразием и сложностью. В Соединённых Штатах существует многоуровневая система налогообложения, которая включает федеральные</w:t>
      </w:r>
      <w:r w:rsidR="008D0F87">
        <w:t xml:space="preserve"> налоги</w:t>
      </w:r>
      <w:r w:rsidRPr="00195E29">
        <w:t xml:space="preserve">, </w:t>
      </w:r>
      <w:r w:rsidR="008D0F87">
        <w:t xml:space="preserve">налоги </w:t>
      </w:r>
      <w:r w:rsidRPr="00195E29">
        <w:t>штатов и местные налоги. Федеральное правительство устанавливает базовые налоговые ставки на доходы физических лиц, налоги на прибыль корпораций, а также налог на добавленную стоимость (вместо него применяется система продажного налога). В то же время каждый штат имеет свои налоговые правила, что добавляет гибкости, но и усложняет систему в целом.</w:t>
      </w:r>
    </w:p>
    <w:p w:rsidR="00195E29" w:rsidRPr="00195E29" w:rsidRDefault="00195E29" w:rsidP="00121B08">
      <w:pPr>
        <w:spacing w:after="0"/>
      </w:pPr>
      <w:r w:rsidRPr="00195E29">
        <w:t>Таблица 3</w:t>
      </w:r>
      <w:r>
        <w:t>.К</w:t>
      </w:r>
      <w:r w:rsidRPr="00195E29">
        <w:t>лючевые налоговые ставки в США:</w:t>
      </w:r>
    </w:p>
    <w:tbl>
      <w:tblPr>
        <w:tblW w:w="9529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2"/>
        <w:gridCol w:w="2701"/>
        <w:gridCol w:w="4346"/>
      </w:tblGrid>
      <w:tr w:rsidR="00195E29" w:rsidRPr="00195E29" w:rsidTr="00121B08">
        <w:trPr>
          <w:tblHeader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Вид налога</w:t>
            </w:r>
          </w:p>
        </w:tc>
        <w:tc>
          <w:tcPr>
            <w:tcW w:w="2671" w:type="dxa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Ставка</w:t>
            </w:r>
          </w:p>
        </w:tc>
        <w:tc>
          <w:tcPr>
            <w:tcW w:w="4301" w:type="dxa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Комментарий</w:t>
            </w:r>
          </w:p>
        </w:tc>
      </w:tr>
      <w:tr w:rsidR="00195E29" w:rsidRPr="00195E29" w:rsidTr="00121B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Федеральный налог на доходы физических лиц</w:t>
            </w:r>
          </w:p>
        </w:tc>
        <w:tc>
          <w:tcPr>
            <w:tcW w:w="2671" w:type="dxa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10% / 12% / 22% / 24% / 32% / 35% / 37%</w:t>
            </w:r>
          </w:p>
        </w:tc>
        <w:tc>
          <w:tcPr>
            <w:tcW w:w="4301" w:type="dxa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Прогрессивная шкала налогообложени</w:t>
            </w:r>
            <w:r w:rsidR="008D0F87">
              <w:rPr>
                <w:sz w:val="24"/>
                <w:szCs w:val="24"/>
              </w:rPr>
              <w:t>я, максимальная ставка — 37%</w:t>
            </w:r>
            <w:r w:rsidRPr="00195E29">
              <w:rPr>
                <w:sz w:val="24"/>
                <w:szCs w:val="24"/>
              </w:rPr>
              <w:t>.</w:t>
            </w:r>
          </w:p>
        </w:tc>
      </w:tr>
      <w:tr w:rsidR="00195E29" w:rsidRPr="00195E29" w:rsidTr="00121B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Налог на прибыль корпораций</w:t>
            </w:r>
          </w:p>
        </w:tc>
        <w:tc>
          <w:tcPr>
            <w:tcW w:w="2671" w:type="dxa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21%</w:t>
            </w:r>
          </w:p>
        </w:tc>
        <w:tc>
          <w:tcPr>
            <w:tcW w:w="4301" w:type="dxa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Снижен до 21% с 35</w:t>
            </w:r>
            <w:r w:rsidR="008D0F87">
              <w:rPr>
                <w:sz w:val="24"/>
                <w:szCs w:val="24"/>
              </w:rPr>
              <w:t>% в рамках реформы 2017 года</w:t>
            </w:r>
            <w:r w:rsidRPr="00195E29">
              <w:rPr>
                <w:sz w:val="24"/>
                <w:szCs w:val="24"/>
              </w:rPr>
              <w:t>.</w:t>
            </w:r>
          </w:p>
        </w:tc>
      </w:tr>
      <w:tr w:rsidR="00195E29" w:rsidRPr="00195E29" w:rsidTr="00121B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Продажный налог (sales tax)</w:t>
            </w:r>
          </w:p>
        </w:tc>
        <w:tc>
          <w:tcPr>
            <w:tcW w:w="2671" w:type="dxa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от 0% до 10% в зависимости от штата</w:t>
            </w:r>
          </w:p>
        </w:tc>
        <w:tc>
          <w:tcPr>
            <w:tcW w:w="4301" w:type="dxa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Налог с продаж товаров и услуг, действует на уровне штатов.</w:t>
            </w:r>
          </w:p>
        </w:tc>
      </w:tr>
      <w:tr w:rsidR="00195E29" w:rsidRPr="00195E29" w:rsidTr="00121B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Налог на имущество</w:t>
            </w:r>
          </w:p>
        </w:tc>
        <w:tc>
          <w:tcPr>
            <w:tcW w:w="2671" w:type="dxa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зависимости от штата</w:t>
            </w:r>
          </w:p>
        </w:tc>
        <w:tc>
          <w:tcPr>
            <w:tcW w:w="4301" w:type="dxa"/>
            <w:vAlign w:val="center"/>
            <w:hideMark/>
          </w:tcPr>
          <w:p w:rsidR="00195E29" w:rsidRPr="00195E29" w:rsidRDefault="00195E29" w:rsidP="00121B0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95E29">
              <w:rPr>
                <w:sz w:val="24"/>
                <w:szCs w:val="24"/>
              </w:rPr>
              <w:t>Определяется на уровне штатов и муниципалитетов, средний уровень — около 1-</w:t>
            </w:r>
            <w:r w:rsidR="008D0F87">
              <w:rPr>
                <w:sz w:val="24"/>
                <w:szCs w:val="24"/>
              </w:rPr>
              <w:t>2% от стоимости недвижимости</w:t>
            </w:r>
            <w:r w:rsidRPr="00195E29">
              <w:rPr>
                <w:sz w:val="24"/>
                <w:szCs w:val="24"/>
              </w:rPr>
              <w:t>.</w:t>
            </w:r>
          </w:p>
        </w:tc>
      </w:tr>
    </w:tbl>
    <w:p w:rsidR="00195E29" w:rsidRPr="00195E29" w:rsidRDefault="00061E20" w:rsidP="00121B08">
      <w:pPr>
        <w:spacing w:before="120" w:after="0"/>
      </w:pPr>
      <w:r>
        <w:t>Проанализировав данные, запечатленные в таблице 3, можно отметить, что ф</w:t>
      </w:r>
      <w:r w:rsidR="00195E29" w:rsidRPr="00195E29">
        <w:t>едеральная налоговая система США имеет сложную прогрессивную шкалу, где ставка НДФЛ варьируется от 10% до 37%, что делает её одной из наиболее гибких систем в мире. Это позволяет перераспределять налоговую нагрузку в зависимости от доходов граждан и способствует поддержанию пр</w:t>
      </w:r>
      <w:r>
        <w:t>едпринимательской активности</w:t>
      </w:r>
      <w:r w:rsidR="009C5CB8" w:rsidRPr="009C5CB8">
        <w:t xml:space="preserve"> [5]</w:t>
      </w:r>
      <w:r w:rsidR="00195E29" w:rsidRPr="00195E29">
        <w:t xml:space="preserve">.Налог на прибыль корпораций был снижен до 21% в 2017 году, что значительно повысило конкурентоспособность США на мировой арене. Это решение привлекло крупные международные компании и способствовало увеличению </w:t>
      </w:r>
      <w:r w:rsidR="00195E29" w:rsidRPr="00195E29">
        <w:lastRenderedPageBreak/>
        <w:t>и</w:t>
      </w:r>
      <w:r>
        <w:t>нвестиций в экономику страны</w:t>
      </w:r>
      <w:r w:rsidR="009C5CB8" w:rsidRPr="009C5CB8">
        <w:t xml:space="preserve"> [7]</w:t>
      </w:r>
      <w:r w:rsidR="00195E29" w:rsidRPr="00195E29">
        <w:t>.Продажный налог варьируется в зависимости от штата, что позволяет некоторым регионам поддерживать низкие ставки налогообложения и тем самым привлекать покупателей и бизнес</w:t>
      </w:r>
      <w:r>
        <w:t xml:space="preserve">. Ярким примером такого подхода является Техас, где ставка продажного налога равна 0%, сейчас туда «стекаются» все больше мировых корпораций, таких как </w:t>
      </w:r>
      <w:r>
        <w:rPr>
          <w:lang w:val="en-US"/>
        </w:rPr>
        <w:t>Tesla</w:t>
      </w:r>
      <w:r>
        <w:t xml:space="preserve"> и </w:t>
      </w:r>
      <w:r>
        <w:rPr>
          <w:lang w:val="en-US"/>
        </w:rPr>
        <w:t>SpaceX</w:t>
      </w:r>
      <w:r>
        <w:t xml:space="preserve">. </w:t>
      </w:r>
      <w:r w:rsidR="00195E29" w:rsidRPr="00195E29">
        <w:t xml:space="preserve">Кроме того, одним из </w:t>
      </w:r>
      <w:r>
        <w:t xml:space="preserve">самых </w:t>
      </w:r>
      <w:r w:rsidR="00195E29" w:rsidRPr="00195E29">
        <w:t>важных элементов налоговой системы США является налогообложение капитальных доходов (налог на прирост капитала). Это налогообложение применяется к доходам от продажи активов, таких как акции или недвижимость. Налоговые ставки на прирост капитала также зависят от уровня доходов и варьируются от 0% до 20%.</w:t>
      </w:r>
    </w:p>
    <w:p w:rsidR="00C36CF9" w:rsidRDefault="00C36CF9" w:rsidP="00121B08">
      <w:pPr>
        <w:pStyle w:val="2"/>
        <w:spacing w:before="100" w:beforeAutospacing="1"/>
        <w:ind w:firstLine="709"/>
      </w:pPr>
      <w:bookmarkStart w:id="7" w:name="_Toc178966159"/>
      <w:r>
        <w:t xml:space="preserve">2.2. </w:t>
      </w:r>
      <w:r w:rsidR="00DA71C5">
        <w:t>Налоговые системы стран Европейского Союза на примере Германии и Швеции</w:t>
      </w:r>
      <w:bookmarkEnd w:id="7"/>
    </w:p>
    <w:p w:rsidR="00DF6094" w:rsidRDefault="00D30D2F" w:rsidP="00121B08">
      <w:pPr>
        <w:spacing w:after="0"/>
      </w:pPr>
      <w:r w:rsidRPr="00AF1249">
        <w:t>Европейские страны, как правило, придерживаются более высоких налоговых ставок, особенно в сфере налогообложения доходов физических лиц. Прогрессивные налоговые системы, ориентированные на перераспределение богатства, позволяют поддерживать высокий уровень социальной защиты и финансирование государственных программ. Однако высокая налоговая нагрузка может оказывать сдерживающее влияние на экономический рост.</w:t>
      </w:r>
    </w:p>
    <w:p w:rsidR="00D30D2F" w:rsidRPr="00AF1249" w:rsidRDefault="00D30D2F" w:rsidP="00121B08">
      <w:pPr>
        <w:spacing w:after="0"/>
      </w:pPr>
      <w:r w:rsidRPr="00AF1249">
        <w:t>Таблица 4</w:t>
      </w:r>
      <w:r w:rsidR="00DF6094">
        <w:t>.Н</w:t>
      </w:r>
      <w:r w:rsidRPr="00AF1249">
        <w:t>алого</w:t>
      </w:r>
      <w:r w:rsidR="00DF6094">
        <w:t>вые ставки в Германии и Швеции</w:t>
      </w:r>
      <w:r w:rsidRPr="00AF1249">
        <w:t>: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6"/>
        <w:gridCol w:w="1760"/>
        <w:gridCol w:w="1461"/>
        <w:gridCol w:w="606"/>
        <w:gridCol w:w="1521"/>
        <w:gridCol w:w="3025"/>
      </w:tblGrid>
      <w:tr w:rsidR="00AF1249" w:rsidRPr="00AF1249" w:rsidTr="00310143">
        <w:trPr>
          <w:tblHeader/>
          <w:tblCellSpacing w:w="15" w:type="dxa"/>
          <w:jc w:val="center"/>
        </w:trPr>
        <w:tc>
          <w:tcPr>
            <w:tcW w:w="1041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F1249">
              <w:rPr>
                <w:b/>
                <w:sz w:val="24"/>
                <w:szCs w:val="24"/>
              </w:rPr>
              <w:t>Страна</w:t>
            </w:r>
          </w:p>
        </w:tc>
        <w:tc>
          <w:tcPr>
            <w:tcW w:w="1730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F1249">
              <w:rPr>
                <w:b/>
                <w:sz w:val="24"/>
                <w:szCs w:val="24"/>
              </w:rPr>
              <w:t>НДФЛ (максимальная ставка)</w:t>
            </w:r>
          </w:p>
        </w:tc>
        <w:tc>
          <w:tcPr>
            <w:tcW w:w="1431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F1249">
              <w:rPr>
                <w:b/>
                <w:sz w:val="24"/>
                <w:szCs w:val="24"/>
              </w:rPr>
              <w:t>Налог на прибыль корпораций</w:t>
            </w:r>
          </w:p>
        </w:tc>
        <w:tc>
          <w:tcPr>
            <w:tcW w:w="576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F1249">
              <w:rPr>
                <w:b/>
                <w:sz w:val="24"/>
                <w:szCs w:val="24"/>
              </w:rPr>
              <w:t>НДС</w:t>
            </w:r>
          </w:p>
        </w:tc>
        <w:tc>
          <w:tcPr>
            <w:tcW w:w="1491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F1249">
              <w:rPr>
                <w:b/>
                <w:sz w:val="24"/>
                <w:szCs w:val="24"/>
              </w:rPr>
              <w:t>Социальные взносы</w:t>
            </w:r>
          </w:p>
        </w:tc>
        <w:tc>
          <w:tcPr>
            <w:tcW w:w="2980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F1249">
              <w:rPr>
                <w:b/>
                <w:sz w:val="24"/>
                <w:szCs w:val="24"/>
              </w:rPr>
              <w:t>Комментарий</w:t>
            </w:r>
          </w:p>
        </w:tc>
      </w:tr>
      <w:tr w:rsidR="00AF1249" w:rsidRPr="00AF1249" w:rsidTr="00310143">
        <w:trPr>
          <w:tblCellSpacing w:w="15" w:type="dxa"/>
          <w:jc w:val="center"/>
        </w:trPr>
        <w:tc>
          <w:tcPr>
            <w:tcW w:w="1041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F1249">
              <w:rPr>
                <w:sz w:val="24"/>
                <w:szCs w:val="24"/>
              </w:rPr>
              <w:t>Германия</w:t>
            </w:r>
          </w:p>
        </w:tc>
        <w:tc>
          <w:tcPr>
            <w:tcW w:w="1730" w:type="dxa"/>
            <w:vAlign w:val="center"/>
            <w:hideMark/>
          </w:tcPr>
          <w:p w:rsidR="00D30D2F" w:rsidRPr="00DF6094" w:rsidRDefault="00DF6094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0% / 14% / 24% / 42% / 45%</w:t>
            </w:r>
          </w:p>
        </w:tc>
        <w:tc>
          <w:tcPr>
            <w:tcW w:w="1431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1249">
              <w:rPr>
                <w:sz w:val="24"/>
                <w:szCs w:val="24"/>
              </w:rPr>
              <w:t>30%</w:t>
            </w:r>
          </w:p>
        </w:tc>
        <w:tc>
          <w:tcPr>
            <w:tcW w:w="576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1249">
              <w:rPr>
                <w:sz w:val="24"/>
                <w:szCs w:val="24"/>
              </w:rPr>
              <w:t>19%</w:t>
            </w:r>
          </w:p>
        </w:tc>
        <w:tc>
          <w:tcPr>
            <w:tcW w:w="1491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1249">
              <w:rPr>
                <w:sz w:val="24"/>
                <w:szCs w:val="24"/>
              </w:rPr>
              <w:t>40%</w:t>
            </w:r>
          </w:p>
        </w:tc>
        <w:tc>
          <w:tcPr>
            <w:tcW w:w="2980" w:type="dxa"/>
            <w:vAlign w:val="center"/>
            <w:hideMark/>
          </w:tcPr>
          <w:p w:rsidR="00D30D2F" w:rsidRPr="00DF6094" w:rsidRDefault="00DF6094" w:rsidP="00121B0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F6094">
              <w:rPr>
                <w:sz w:val="24"/>
                <w:szCs w:val="24"/>
              </w:rPr>
              <w:t>рогрессивная шкала НДФЛ: от 0% до 45% в зависимости от дохода. Налоговая нагрузка используется для социальной политики.</w:t>
            </w:r>
          </w:p>
        </w:tc>
      </w:tr>
      <w:tr w:rsidR="00AF1249" w:rsidRPr="00AF1249" w:rsidTr="00310143">
        <w:trPr>
          <w:trHeight w:val="2921"/>
          <w:tblCellSpacing w:w="15" w:type="dxa"/>
          <w:jc w:val="center"/>
        </w:trPr>
        <w:tc>
          <w:tcPr>
            <w:tcW w:w="1041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F1249">
              <w:rPr>
                <w:sz w:val="24"/>
                <w:szCs w:val="24"/>
              </w:rPr>
              <w:lastRenderedPageBreak/>
              <w:t>Швеция</w:t>
            </w:r>
          </w:p>
        </w:tc>
        <w:tc>
          <w:tcPr>
            <w:tcW w:w="1730" w:type="dxa"/>
            <w:vAlign w:val="center"/>
            <w:hideMark/>
          </w:tcPr>
          <w:p w:rsidR="00D30D2F" w:rsidRPr="00DF6094" w:rsidRDefault="00DF6094" w:rsidP="00121B08">
            <w:pPr>
              <w:spacing w:line="240" w:lineRule="auto"/>
              <w:ind w:firstLine="63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0% / 20% / 30% / 50% / 57%</w:t>
            </w:r>
          </w:p>
        </w:tc>
        <w:tc>
          <w:tcPr>
            <w:tcW w:w="1431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1249">
              <w:rPr>
                <w:sz w:val="24"/>
                <w:szCs w:val="24"/>
              </w:rPr>
              <w:t>22%</w:t>
            </w:r>
          </w:p>
        </w:tc>
        <w:tc>
          <w:tcPr>
            <w:tcW w:w="576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1249">
              <w:rPr>
                <w:sz w:val="24"/>
                <w:szCs w:val="24"/>
              </w:rPr>
              <w:t>25%</w:t>
            </w:r>
          </w:p>
        </w:tc>
        <w:tc>
          <w:tcPr>
            <w:tcW w:w="1491" w:type="dxa"/>
            <w:vAlign w:val="center"/>
            <w:hideMark/>
          </w:tcPr>
          <w:p w:rsidR="00D30D2F" w:rsidRPr="00AF1249" w:rsidRDefault="00D30D2F" w:rsidP="00121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1249">
              <w:rPr>
                <w:sz w:val="24"/>
                <w:szCs w:val="24"/>
              </w:rPr>
              <w:t>43%</w:t>
            </w:r>
          </w:p>
        </w:tc>
        <w:tc>
          <w:tcPr>
            <w:tcW w:w="2980" w:type="dxa"/>
            <w:vAlign w:val="center"/>
            <w:hideMark/>
          </w:tcPr>
          <w:p w:rsidR="00D30D2F" w:rsidRPr="00DF6094" w:rsidRDefault="00DF6094" w:rsidP="00121B0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Самая высокая прогрессивная шкала НДФЛ в Е</w:t>
            </w:r>
            <w:r>
              <w:rPr>
                <w:sz w:val="24"/>
                <w:szCs w:val="24"/>
              </w:rPr>
              <w:t xml:space="preserve">вропейском </w:t>
            </w:r>
            <w:r w:rsidRPr="00DF6094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оюзе</w:t>
            </w:r>
            <w:r w:rsidRPr="00DF6094">
              <w:rPr>
                <w:sz w:val="24"/>
                <w:szCs w:val="24"/>
              </w:rPr>
              <w:t xml:space="preserve"> с максимальной ставкой 57%. Высокие налоги идут на социальные программы.</w:t>
            </w:r>
          </w:p>
        </w:tc>
      </w:tr>
    </w:tbl>
    <w:p w:rsidR="00195E29" w:rsidRPr="00AF1249" w:rsidRDefault="00DF6094" w:rsidP="00121B08">
      <w:pPr>
        <w:spacing w:before="120" w:after="0"/>
      </w:pPr>
      <w:r>
        <w:t xml:space="preserve">Проанализировав данные из таблицы 4, можно сделать вывод, что в </w:t>
      </w:r>
      <w:r w:rsidR="00D30D2F" w:rsidRPr="00AF1249">
        <w:t xml:space="preserve">странах Европы, таких как Германия и Швеция, максимальные ставки НДФЛ значительно выше, чем в США или России. Это обусловлено ориентацией на перераспределение доходов и поддержание высокого уровня социальных услуг, таких как </w:t>
      </w:r>
      <w:r>
        <w:t xml:space="preserve">качественное </w:t>
      </w:r>
      <w:r w:rsidR="00D30D2F" w:rsidRPr="00AF1249">
        <w:t>бесплатное з</w:t>
      </w:r>
      <w:r>
        <w:t>дравоохранение и образование</w:t>
      </w:r>
      <w:r w:rsidR="00D30D2F" w:rsidRPr="00AF1249">
        <w:t>.Налог на прибыль корпораций также варьируется, но, в среднем, остаётся на уровне 20-30%. Швеция выделяется самой низкой ставкой среди ведущих европейских стран (22%), что делает её конкурентоспособной в привлечении биз</w:t>
      </w:r>
      <w:r>
        <w:t>неса</w:t>
      </w:r>
      <w:r w:rsidR="009C5CB8" w:rsidRPr="009C5CB8">
        <w:t xml:space="preserve"> [10]</w:t>
      </w:r>
      <w:r w:rsidR="00D30D2F" w:rsidRPr="00AF1249">
        <w:t>.Высокий уровень социальных взносов в странах ЕС является важной частью налоговой системы. Например, в Германии и Швеции взносы на социальное страхование достигают 40% и выше, что позволяет государствам поддерживать устойчивую социальную политику, но увелич</w:t>
      </w:r>
      <w:r>
        <w:t>ивает нагрузку на бизнес</w:t>
      </w:r>
      <w:r w:rsidR="009C5CB8" w:rsidRPr="009C5CB8">
        <w:t xml:space="preserve"> [</w:t>
      </w:r>
      <w:r w:rsidR="009C5CB8" w:rsidRPr="009101DF">
        <w:t>8</w:t>
      </w:r>
      <w:r w:rsidR="009C5CB8" w:rsidRPr="009C5CB8">
        <w:t>]</w:t>
      </w:r>
      <w:r w:rsidR="00D30D2F" w:rsidRPr="00AF1249">
        <w:t>.</w:t>
      </w:r>
    </w:p>
    <w:p w:rsidR="00C36CF9" w:rsidRDefault="00C36CF9" w:rsidP="00121B08">
      <w:pPr>
        <w:pStyle w:val="2"/>
        <w:spacing w:before="120"/>
        <w:ind w:firstLine="709"/>
      </w:pPr>
      <w:bookmarkStart w:id="8" w:name="_Toc178966160"/>
      <w:r>
        <w:t xml:space="preserve">2.3. </w:t>
      </w:r>
      <w:r w:rsidR="00DA71C5">
        <w:t>Сравнительный анализ налоговых систем</w:t>
      </w:r>
      <w:bookmarkEnd w:id="8"/>
    </w:p>
    <w:p w:rsidR="00310143" w:rsidRDefault="00D30D2F" w:rsidP="00121B08">
      <w:pPr>
        <w:spacing w:after="0"/>
      </w:pPr>
      <w:r w:rsidRPr="00DF6094">
        <w:t>При сравнении налоговых систем США</w:t>
      </w:r>
      <w:r w:rsidR="00310143">
        <w:t>, России</w:t>
      </w:r>
      <w:r w:rsidRPr="00DF6094">
        <w:t xml:space="preserve"> и стран Европы, таких как Германия и Швеция, можно отмети</w:t>
      </w:r>
      <w:r w:rsidR="00310143">
        <w:t>ть несколько ключевых различий.</w:t>
      </w:r>
    </w:p>
    <w:p w:rsidR="00310143" w:rsidRDefault="00D30D2F" w:rsidP="00121B08">
      <w:pPr>
        <w:spacing w:after="0"/>
      </w:pPr>
      <w:r w:rsidRPr="00DF6094">
        <w:t xml:space="preserve">Во-первых, налоговые системы Европы более ориентированы на социальную справедливость и перераспределение доходов. Прогрессивные ставки НДФЛ и высокий уровень социальных взносов позволяют европейским государствам поддерживать широкий доступ к социальным </w:t>
      </w:r>
      <w:r w:rsidRPr="00DF6094">
        <w:lastRenderedPageBreak/>
        <w:t>услугам и снижать неравенство. Однако такая политика сопровождается значительной налоговой нагрузкой на бизнес и граждан, что может ограничивать экономическую акти</w:t>
      </w:r>
      <w:r w:rsidR="00310143">
        <w:t>вность и предпринимательство</w:t>
      </w:r>
      <w:r w:rsidRPr="00DF6094">
        <w:t>.</w:t>
      </w:r>
    </w:p>
    <w:p w:rsidR="00D30D2F" w:rsidRDefault="00D30D2F" w:rsidP="00121B08">
      <w:pPr>
        <w:spacing w:after="0"/>
      </w:pPr>
      <w:r w:rsidRPr="00DF6094">
        <w:t xml:space="preserve">С другой стороны, США предпочитают более либеральный подход к налогообложению. </w:t>
      </w:r>
      <w:r w:rsidR="00310143">
        <w:t>Прогрессивная шкала НДФЛ менее «крутая»</w:t>
      </w:r>
      <w:r w:rsidRPr="00DF6094">
        <w:t>, а налоги на прибыль и продажные налоги остаются сравнительно низкими. Это позволяет стимулировать частную инициативу и экономический рост, но сопровождается высоким уровнем социального неравенства и сравнительно слабой системой социальной защиты [7].</w:t>
      </w:r>
    </w:p>
    <w:p w:rsidR="00DF6094" w:rsidRDefault="00310143" w:rsidP="00121B08">
      <w:pPr>
        <w:spacing w:after="0"/>
      </w:pPr>
      <w:r>
        <w:t>В то время как, Россия старается балансировать где-то между налоговой политикой Америки и Европейских государств. Однако при этом, в последнее время, заметен ориентир на европейскую налоговую систему.</w:t>
      </w:r>
    </w:p>
    <w:p w:rsidR="00DF6094" w:rsidRPr="00DF6094" w:rsidRDefault="00DF6094" w:rsidP="00121B08">
      <w:pPr>
        <w:spacing w:after="0"/>
      </w:pPr>
      <w:r w:rsidRPr="00DF6094">
        <w:t>Таблица 5. Сравнительный анализ налоговых систем США, Германии, Швеции и России</w:t>
      </w:r>
    </w:p>
    <w:tbl>
      <w:tblPr>
        <w:tblW w:w="9836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9"/>
        <w:gridCol w:w="1792"/>
        <w:gridCol w:w="2187"/>
        <w:gridCol w:w="2187"/>
        <w:gridCol w:w="1601"/>
      </w:tblGrid>
      <w:tr w:rsidR="00DF6094" w:rsidRPr="00DF6094" w:rsidTr="00310143">
        <w:trPr>
          <w:tblHeader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F6094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F6094">
              <w:rPr>
                <w:b/>
                <w:sz w:val="24"/>
                <w:szCs w:val="24"/>
              </w:rPr>
              <w:t>США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F6094">
              <w:rPr>
                <w:b/>
                <w:sz w:val="24"/>
                <w:szCs w:val="24"/>
              </w:rPr>
              <w:t>Германия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F6094">
              <w:rPr>
                <w:b/>
                <w:sz w:val="24"/>
                <w:szCs w:val="24"/>
              </w:rPr>
              <w:t>Швеция</w:t>
            </w:r>
          </w:p>
        </w:tc>
        <w:tc>
          <w:tcPr>
            <w:tcW w:w="1556" w:type="dxa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F6094">
              <w:rPr>
                <w:b/>
                <w:sz w:val="24"/>
                <w:szCs w:val="24"/>
              </w:rPr>
              <w:t>Россия</w:t>
            </w:r>
          </w:p>
        </w:tc>
      </w:tr>
      <w:tr w:rsidR="00DF6094" w:rsidRPr="00DF6094" w:rsidTr="0031014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F6094">
              <w:rPr>
                <w:b/>
                <w:sz w:val="24"/>
                <w:szCs w:val="24"/>
              </w:rPr>
              <w:t>НДФЛ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Максимум 37%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0% / 14% / 24% / 42% / 45%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0% / 20% / 30% / 50% / 57%</w:t>
            </w:r>
          </w:p>
        </w:tc>
        <w:tc>
          <w:tcPr>
            <w:tcW w:w="1556" w:type="dxa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13% / 15%</w:t>
            </w:r>
          </w:p>
        </w:tc>
      </w:tr>
      <w:tr w:rsidR="00DF6094" w:rsidRPr="00DF6094" w:rsidTr="0031014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F6094">
              <w:rPr>
                <w:b/>
                <w:sz w:val="24"/>
                <w:szCs w:val="24"/>
              </w:rPr>
              <w:t>Налог на прибыль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21%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30%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22%</w:t>
            </w:r>
          </w:p>
        </w:tc>
        <w:tc>
          <w:tcPr>
            <w:tcW w:w="1556" w:type="dxa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20%</w:t>
            </w:r>
          </w:p>
        </w:tc>
      </w:tr>
      <w:tr w:rsidR="00DF6094" w:rsidRPr="00DF6094" w:rsidTr="0031014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F6094">
              <w:rPr>
                <w:b/>
                <w:sz w:val="24"/>
                <w:szCs w:val="24"/>
              </w:rPr>
              <w:t>Социальные взносы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Около 15%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40%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43%</w:t>
            </w:r>
          </w:p>
        </w:tc>
        <w:tc>
          <w:tcPr>
            <w:tcW w:w="1556" w:type="dxa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30%</w:t>
            </w:r>
          </w:p>
        </w:tc>
      </w:tr>
      <w:tr w:rsidR="00DF6094" w:rsidRPr="00DF6094" w:rsidTr="0031014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F6094">
              <w:rPr>
                <w:b/>
                <w:sz w:val="24"/>
                <w:szCs w:val="24"/>
              </w:rPr>
              <w:t>НДС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0% (sales tax на уровне штатов)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19%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25%</w:t>
            </w:r>
          </w:p>
        </w:tc>
        <w:tc>
          <w:tcPr>
            <w:tcW w:w="1556" w:type="dxa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20%</w:t>
            </w:r>
          </w:p>
        </w:tc>
      </w:tr>
      <w:tr w:rsidR="00DF6094" w:rsidRPr="00DF6094" w:rsidTr="0031014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F6094">
              <w:rPr>
                <w:b/>
                <w:sz w:val="24"/>
                <w:szCs w:val="24"/>
              </w:rPr>
              <w:t>Уровень социального неравенства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Высокий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Низкий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Низкий</w:t>
            </w:r>
          </w:p>
        </w:tc>
        <w:tc>
          <w:tcPr>
            <w:tcW w:w="1556" w:type="dxa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Средний</w:t>
            </w:r>
          </w:p>
        </w:tc>
      </w:tr>
      <w:tr w:rsidR="00DF6094" w:rsidRPr="00DF6094" w:rsidTr="0031014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F6094">
              <w:rPr>
                <w:b/>
                <w:sz w:val="24"/>
                <w:szCs w:val="24"/>
              </w:rPr>
              <w:t>Социальная защита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Ограничена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Развита, охватывает большинство граждан</w:t>
            </w:r>
          </w:p>
        </w:tc>
        <w:tc>
          <w:tcPr>
            <w:tcW w:w="0" w:type="auto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Развита, охватывает большинство граждан</w:t>
            </w:r>
          </w:p>
        </w:tc>
        <w:tc>
          <w:tcPr>
            <w:tcW w:w="1556" w:type="dxa"/>
            <w:vAlign w:val="center"/>
            <w:hideMark/>
          </w:tcPr>
          <w:p w:rsidR="00DF6094" w:rsidRPr="00DF6094" w:rsidRDefault="00DF6094" w:rsidP="00121B0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6094">
              <w:rPr>
                <w:sz w:val="24"/>
                <w:szCs w:val="24"/>
              </w:rPr>
              <w:t>Умеренная</w:t>
            </w:r>
          </w:p>
        </w:tc>
      </w:tr>
    </w:tbl>
    <w:p w:rsidR="00DF6094" w:rsidRPr="00DF6094" w:rsidRDefault="00310143" w:rsidP="00AD6990">
      <w:pPr>
        <w:spacing w:after="0"/>
      </w:pPr>
      <w:r>
        <w:t>Проанализировав данные, запечатленные в таблице 5, можно сделать вывод, что н</w:t>
      </w:r>
      <w:r w:rsidR="00DF6094" w:rsidRPr="00DF6094">
        <w:t xml:space="preserve">алоговые системы Германии и Швеции ориентированы на перераспределение доходов через высокие ставки НДФЛ и социальные взносы. В этих странах высокий уровень налогообложения компенсируется обширной социальной поддержкой, которая снижает социальное </w:t>
      </w:r>
      <w:r w:rsidR="00DF6094" w:rsidRPr="00DF6094">
        <w:lastRenderedPageBreak/>
        <w:t>неравенство. Однако это создаёт значительную налоговую наг</w:t>
      </w:r>
      <w:r w:rsidR="008F1D4E">
        <w:t>рузку на бизнес и граждан</w:t>
      </w:r>
      <w:r w:rsidR="00DF6094" w:rsidRPr="00DF6094">
        <w:t>.</w:t>
      </w:r>
      <w:r w:rsidR="008F1D4E" w:rsidRPr="00DF6094">
        <w:t>С</w:t>
      </w:r>
      <w:r w:rsidR="008F1D4E">
        <w:t xml:space="preserve">оединенные </w:t>
      </w:r>
      <w:r w:rsidR="00DF6094" w:rsidRPr="00DF6094">
        <w:t>Ш</w:t>
      </w:r>
      <w:r w:rsidR="008F1D4E">
        <w:t xml:space="preserve">таты </w:t>
      </w:r>
      <w:r w:rsidR="00DF6094" w:rsidRPr="00DF6094">
        <w:t>А</w:t>
      </w:r>
      <w:r w:rsidR="008F1D4E">
        <w:t>мерики</w:t>
      </w:r>
      <w:r w:rsidR="00DF6094" w:rsidRPr="00DF6094">
        <w:t xml:space="preserve"> сохраняют более либеральную налоговую политику с низкими ставками на прибыль и доходы, что стимулирует предпринимательскую активность, но сопровождается высоким уро</w:t>
      </w:r>
      <w:r w:rsidR="008F1D4E">
        <w:t>внем социального неравенства</w:t>
      </w:r>
      <w:r w:rsidR="00DF6094" w:rsidRPr="00DF6094">
        <w:t xml:space="preserve">.Налоговая система России, напротив, характеризуется низкими фиксированными ставками НДФЛ (13% для большинства граждан), что делает её привлекательной для физических лиц, но ограничивает возможности для перераспределения доходов. При этом корпоративные и социальные взносы находятся на сравнительно высоком уровне, что может </w:t>
      </w:r>
      <w:r w:rsidR="008F1D4E">
        <w:t>оказывать давление на бизнес</w:t>
      </w:r>
      <w:r w:rsidR="009101DF" w:rsidRPr="009C5CB8">
        <w:t>[</w:t>
      </w:r>
      <w:r w:rsidR="009101DF" w:rsidRPr="009101DF">
        <w:t>1-10</w:t>
      </w:r>
      <w:r w:rsidR="009101DF" w:rsidRPr="009C5CB8">
        <w:t>]</w:t>
      </w:r>
      <w:r w:rsidR="00DF6094" w:rsidRPr="00DF6094">
        <w:t>.</w:t>
      </w:r>
    </w:p>
    <w:p w:rsidR="00D30D2F" w:rsidRPr="00DF6094" w:rsidRDefault="00D30D2F" w:rsidP="00AD6990">
      <w:pPr>
        <w:spacing w:after="0"/>
      </w:pPr>
      <w:r w:rsidRPr="00DF6094">
        <w:t>Анализ налоговых систем зарубежных стран, в частности США, Германии и Швеции, демонстрирует их существенные различия в подходах к налогообложению. В странах Европы преобладают высокие прогрессивные ставки НДФЛ и значительные социальные взносы, что позволяет государствам обеспечивать широкий доступ к социальным услугам и снижать неравенство. США, напротив, фокусируются на создании условий для роста бизнеса и экономической активности, предлагая сравнительно низкие налоги на прибыль и доходы.</w:t>
      </w:r>
    </w:p>
    <w:p w:rsidR="00195E29" w:rsidRPr="00DF6094" w:rsidRDefault="00D30D2F" w:rsidP="00AD6990">
      <w:pPr>
        <w:spacing w:after="0"/>
      </w:pPr>
      <w:r w:rsidRPr="00DF6094">
        <w:t>Каждая из систем имеет свои преимущества и недостатки. Европейские страны демонстрируют высокую социальную защищенность, но сталкиваются с проблемами экономического роста из-за высокого уровня налогообложения. США, хотя и являются лидером по темпам экономического роста, испытывают сложности с доступностью социальных благ для всех граждан.</w:t>
      </w:r>
    </w:p>
    <w:p w:rsidR="00C36CF9" w:rsidRPr="00DF6094" w:rsidRDefault="00C36CF9" w:rsidP="00DF6094">
      <w:r w:rsidRPr="00DF6094">
        <w:br w:type="page"/>
      </w:r>
    </w:p>
    <w:p w:rsidR="00C36CF9" w:rsidRDefault="00C36CF9" w:rsidP="00C36CF9">
      <w:pPr>
        <w:pStyle w:val="1"/>
      </w:pPr>
      <w:bookmarkStart w:id="9" w:name="_Toc178966161"/>
      <w:r>
        <w:lastRenderedPageBreak/>
        <w:t>З</w:t>
      </w:r>
      <w:r w:rsidR="00DA71C5">
        <w:t>АКЛЮЧЕНИЕ</w:t>
      </w:r>
      <w:bookmarkEnd w:id="9"/>
    </w:p>
    <w:p w:rsidR="00D30D2F" w:rsidRPr="008F1D4E" w:rsidRDefault="008F1D4E" w:rsidP="00AD6990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163195</wp:posOffset>
            </wp:positionV>
            <wp:extent cx="2216150" cy="1170940"/>
            <wp:effectExtent l="133350" t="38100" r="69850" b="67310"/>
            <wp:wrapSquare wrapText="bothSides"/>
            <wp:docPr id="1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117094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30D2F" w:rsidRPr="008F1D4E">
        <w:t>Анализ налоговых сис</w:t>
      </w:r>
      <w:r>
        <w:t xml:space="preserve">тем России, США и стран Европейского союза </w:t>
      </w:r>
      <w:r w:rsidR="00D30D2F" w:rsidRPr="008F1D4E">
        <w:t>показывает, что каждая страна выбирает свой уникальный путь для формирования налоговой политики, исходя из своих исторических, экономических и социальных условий. Налоги играют ключевую роль в перераспределении ресурсов внутри страны, обеспечивая финансовую базу для государственных программ и влияя на поведение граждан и бизнеса.</w:t>
      </w:r>
    </w:p>
    <w:p w:rsidR="00D30D2F" w:rsidRPr="008F1D4E" w:rsidRDefault="00D30D2F" w:rsidP="00AD6990">
      <w:pPr>
        <w:spacing w:after="0"/>
      </w:pPr>
      <w:r w:rsidRPr="008F1D4E">
        <w:t>Налоговая система России, с её пропорциональной ставкой налога на доходы физических лиц, представляет собой пример простоты и предсказуемости для налогоплательщиков. Это делает её удобной для граждан, бизнеса и налоговых органов. Введение пропорциональной ставки НДФЛ в 13% с последующим внедрением прогрессивной ставки в 15% для доходов свыше 5 млн рублей отражает попытки правительства России балансировать между стимулированием экономической активности и решением проблем неравенства. Однако многие эксперты указывают на то, что такой подход не решает проблемы социальной справедливости в полной мере, поскольку разница между доходами богатых и бедных в России остаётся значительной. Пропорциональная система, несмотря на свою прозрачность, фактически не учитывает реальных возможностей разных слоёв населения, и это может привести к дальнейшему расслоению общества.</w:t>
      </w:r>
    </w:p>
    <w:p w:rsidR="00D30D2F" w:rsidRPr="008F1D4E" w:rsidRDefault="008F1D4E" w:rsidP="00AD6990">
      <w:pPr>
        <w:spacing w:after="0"/>
      </w:pPr>
      <w:r>
        <w:t>Страны Европейского союза</w:t>
      </w:r>
      <w:r w:rsidR="00D30D2F" w:rsidRPr="008F1D4E">
        <w:t xml:space="preserve">, </w:t>
      </w:r>
      <w:r>
        <w:t>такие как Швеция и Германия</w:t>
      </w:r>
      <w:r w:rsidR="00D30D2F" w:rsidRPr="008F1D4E">
        <w:t xml:space="preserve">, пошли по пути создания сложных прогрессивных налоговых систем. В этих странах высокая налоговая нагрузка на высокие доходы направлена на перераспределение богатства и поддержку всеобщего доступа к социальным благам, таким как образование, здравоохранение и социальная защита. Например, в Швеции максимальная ставка налога на доходы физических лиц </w:t>
      </w:r>
      <w:r w:rsidR="00D30D2F" w:rsidRPr="008F1D4E">
        <w:lastRenderedPageBreak/>
        <w:t>может достигать 57%, что на первый взгляд кажется чрезвычайно высоким показателем. Однако именно за счёт таких высоких налогов Швеция поддерживает один из самых высоких уровней жизни в мире. Прогрессивная налоговая система позволяет сгладить социальные неравенства и предоставляет правительству ресурсы для финансирования социальных программ. В то же время такие системы могут создавать излишние барьеры для бизнеса, снижая стимулы к инвестициям и развитию предпринимательства. Это требует от правительств европейских стран гибкости в управлении налоговой политикой, чтобы не подорвать экономический рост.</w:t>
      </w:r>
    </w:p>
    <w:p w:rsidR="00D30D2F" w:rsidRPr="008F1D4E" w:rsidRDefault="00D30D2F" w:rsidP="00AD6990">
      <w:pPr>
        <w:spacing w:after="0"/>
      </w:pPr>
      <w:r w:rsidRPr="008F1D4E">
        <w:t>США, с их сочетанием прогрессивной налоговой системы и федеральных налогов, придерживаются подхода, который направлен на стимулирование предпринимательства и экономической активности. Максимальная ставка федерального налога на доходы физических лиц в США составляет 37%, что значительно ниже, чем в большинстве стран Европы, но выше, чем в России. Однако в отличие от Европы, социальные программы в США гораздо менее развиты, и американская налоговая система не так эффективно перераспределяет доходы. В США высокие доходы облагаются сравнительно невысокими налогами, что стимулирует частный сектор и инвестиции, но в то же время ведёт к увеличению социального неравенства. В этом контексте американская налоговая система является более либеральной, что отражает общие экономические принципы страны: минимальное вмешательство государства в рыночные процессы и акцент на личную ответственность граждан.</w:t>
      </w:r>
    </w:p>
    <w:p w:rsidR="00D30D2F" w:rsidRPr="008F1D4E" w:rsidRDefault="00D30D2F" w:rsidP="00AD6990">
      <w:pPr>
        <w:spacing w:after="0"/>
      </w:pPr>
      <w:r w:rsidRPr="008F1D4E">
        <w:t xml:space="preserve">Таким образом, налоговые системы России, Европы и США представляют собой различные подходы к решению одной и той же задачи: обеспечение финансовой стабильности государства при справедливом распределении налогового бремени. Пропорциональная налоговая система России, прогрессивные налоги Европы и гибкая налоговая политика США – </w:t>
      </w:r>
      <w:r w:rsidRPr="008F1D4E">
        <w:lastRenderedPageBreak/>
        <w:t>это не универсальные решения, а инструменты, которые требуют постоянной адаптации к меняющимся экономическим и социальным условиям.</w:t>
      </w:r>
    </w:p>
    <w:p w:rsidR="00D30D2F" w:rsidRPr="008F1D4E" w:rsidRDefault="00D30D2F" w:rsidP="00AD6990">
      <w:pPr>
        <w:spacing w:after="0"/>
      </w:pPr>
      <w:r w:rsidRPr="008F1D4E">
        <w:t>Для России важно учитывать международный опыт при реформировании собственной налоговой системы. Введение элементов прогрессивного налогообложения или усиление социальной направленности налоговой политики могут помочь стране справиться с неравенством и поддержать устойчивое экономическое развитие. В конечном итоге, выбор подхода зависит от приоритетов государства и общества, а также от их готовности к переменам.</w:t>
      </w:r>
    </w:p>
    <w:p w:rsidR="00C36CF9" w:rsidRPr="00D30D2F" w:rsidRDefault="00D30D2F" w:rsidP="00D30D2F">
      <w:pPr>
        <w:spacing w:after="0" w:line="240" w:lineRule="auto"/>
        <w:ind w:firstLine="0"/>
        <w:jc w:val="left"/>
        <w:rPr>
          <w:rFonts w:eastAsia="Times New Roman"/>
          <w:color w:val="auto"/>
          <w:sz w:val="24"/>
          <w:szCs w:val="24"/>
          <w:lang w:eastAsia="ru-RU"/>
        </w:rPr>
      </w:pPr>
      <w:r>
        <w:br w:type="page"/>
      </w:r>
      <w:bookmarkStart w:id="10" w:name="_GoBack"/>
      <w:bookmarkEnd w:id="10"/>
    </w:p>
    <w:p w:rsidR="00C36CF9" w:rsidRDefault="00DA71C5" w:rsidP="00C36CF9">
      <w:pPr>
        <w:pStyle w:val="1"/>
      </w:pPr>
      <w:bookmarkStart w:id="11" w:name="_Toc178966162"/>
      <w:r>
        <w:lastRenderedPageBreak/>
        <w:t>СПИСОК ИСПОЛЬЗОВАННОЙ ЛИТЕРАТУРЫ</w:t>
      </w:r>
      <w:bookmarkEnd w:id="11"/>
    </w:p>
    <w:p w:rsidR="009D20CE" w:rsidRPr="009D20CE" w:rsidRDefault="009D20CE" w:rsidP="0021779B">
      <w:pPr>
        <w:pStyle w:val="af"/>
        <w:numPr>
          <w:ilvl w:val="0"/>
          <w:numId w:val="27"/>
        </w:numPr>
        <w:spacing w:after="0"/>
        <w:ind w:left="0" w:firstLine="709"/>
      </w:pPr>
      <w:r w:rsidRPr="009D20CE">
        <w:t>Федеральная налоговая служба России. Налог на доходы физических лиц. Официальный сайт ФНС России. URL</w:t>
      </w:r>
      <w:r>
        <w:t xml:space="preserve">: </w:t>
      </w:r>
      <w:hyperlink r:id="rId13" w:history="1">
        <w:r w:rsidRPr="00431A7A">
          <w:rPr>
            <w:rStyle w:val="ae"/>
          </w:rPr>
          <w:t>https://www.nalog.gov.ru/</w:t>
        </w:r>
      </w:hyperlink>
      <w:r w:rsidRPr="009D20CE">
        <w:t xml:space="preserve">(дата обращения: </w:t>
      </w:r>
      <w:r>
        <w:t>4 октября</w:t>
      </w:r>
      <w:r w:rsidRPr="009D20CE">
        <w:t xml:space="preserve"> 2024).</w:t>
      </w:r>
    </w:p>
    <w:p w:rsidR="009D20CE" w:rsidRPr="009D20CE" w:rsidRDefault="009D20CE" w:rsidP="0021779B">
      <w:pPr>
        <w:pStyle w:val="af"/>
        <w:numPr>
          <w:ilvl w:val="0"/>
          <w:numId w:val="27"/>
        </w:numPr>
        <w:spacing w:after="0"/>
        <w:ind w:left="0" w:firstLine="709"/>
      </w:pPr>
      <w:r w:rsidRPr="009D20CE">
        <w:t xml:space="preserve">Министерство финансов Российской Федерации. Общая информация о налогах. Официальный сайт Минфина РФ. URL: </w:t>
      </w:r>
      <w:hyperlink r:id="rId14" w:tgtFrame="_new" w:history="1">
        <w:r w:rsidRPr="009D20CE">
          <w:rPr>
            <w:rStyle w:val="ae"/>
          </w:rPr>
          <w:t>https://minfin.gov.ru/</w:t>
        </w:r>
      </w:hyperlink>
      <w:r>
        <w:t xml:space="preserve"> (дата обращения: 4 октября</w:t>
      </w:r>
      <w:r w:rsidRPr="009D20CE">
        <w:t xml:space="preserve"> 2024).</w:t>
      </w:r>
    </w:p>
    <w:p w:rsidR="009D20CE" w:rsidRPr="009D20CE" w:rsidRDefault="009D20CE" w:rsidP="0021779B">
      <w:pPr>
        <w:pStyle w:val="af"/>
        <w:numPr>
          <w:ilvl w:val="0"/>
          <w:numId w:val="27"/>
        </w:numPr>
        <w:spacing w:after="0"/>
        <w:ind w:left="0" w:firstLine="709"/>
      </w:pPr>
      <w:r w:rsidRPr="009C5CB8">
        <w:rPr>
          <w:lang w:val="en-US"/>
        </w:rPr>
        <w:t xml:space="preserve">KPMG Global Tax Rates. Corporate and Personal Income Tax Rates Tables. </w:t>
      </w:r>
      <w:r w:rsidRPr="009D20CE">
        <w:t xml:space="preserve">URL: </w:t>
      </w:r>
      <w:hyperlink r:id="rId15" w:history="1">
        <w:r w:rsidRPr="00431A7A">
          <w:rPr>
            <w:rStyle w:val="ae"/>
          </w:rPr>
          <w:t>https://home.kpmg/xx/en/home/services/tax/tax-tools-and-resources/tax-rates-online.html</w:t>
        </w:r>
      </w:hyperlink>
      <w:r w:rsidRPr="009D20CE">
        <w:t xml:space="preserve">(дата обращения: </w:t>
      </w:r>
      <w:r>
        <w:t>4 октября</w:t>
      </w:r>
      <w:r w:rsidRPr="009D20CE">
        <w:t xml:space="preserve"> 2024).</w:t>
      </w:r>
    </w:p>
    <w:p w:rsidR="009D20CE" w:rsidRPr="009D20CE" w:rsidRDefault="009D20CE" w:rsidP="0021779B">
      <w:pPr>
        <w:pStyle w:val="af"/>
        <w:numPr>
          <w:ilvl w:val="0"/>
          <w:numId w:val="27"/>
        </w:numPr>
        <w:spacing w:after="0"/>
        <w:ind w:left="0" w:firstLine="709"/>
      </w:pPr>
      <w:r w:rsidRPr="009D20CE">
        <w:t xml:space="preserve">Федеральная служба государственной статистики (Росстат). Социальные взносы и налогообложение. URL: </w:t>
      </w:r>
      <w:hyperlink r:id="rId16" w:tgtFrame="_new" w:history="1">
        <w:r w:rsidRPr="009D20CE">
          <w:rPr>
            <w:rStyle w:val="ae"/>
          </w:rPr>
          <w:t>https://rosstat.gov.ru/</w:t>
        </w:r>
      </w:hyperlink>
      <w:r w:rsidRPr="009D20CE">
        <w:t xml:space="preserve"> (дата обращения: </w:t>
      </w:r>
      <w:r>
        <w:t>4 октября</w:t>
      </w:r>
      <w:r w:rsidRPr="009D20CE">
        <w:t xml:space="preserve"> 2024).</w:t>
      </w:r>
    </w:p>
    <w:p w:rsidR="009D20CE" w:rsidRPr="009D20CE" w:rsidRDefault="009D20CE" w:rsidP="0021779B">
      <w:pPr>
        <w:pStyle w:val="af"/>
        <w:numPr>
          <w:ilvl w:val="0"/>
          <w:numId w:val="27"/>
        </w:numPr>
        <w:spacing w:after="0"/>
        <w:ind w:left="0" w:firstLine="709"/>
      </w:pPr>
      <w:r w:rsidRPr="009C5CB8">
        <w:rPr>
          <w:lang w:val="en-US"/>
        </w:rPr>
        <w:t xml:space="preserve">Internal Revenue Service (IRS). U.S. Federal Income Tax Brackets for 2024. </w:t>
      </w:r>
      <w:r w:rsidRPr="009D20CE">
        <w:t xml:space="preserve">Официальный сайт IRS. URL: </w:t>
      </w:r>
      <w:hyperlink r:id="rId17" w:tgtFrame="_new" w:history="1">
        <w:r w:rsidRPr="009D20CE">
          <w:rPr>
            <w:rStyle w:val="ae"/>
          </w:rPr>
          <w:t>https://www.irs.gov/</w:t>
        </w:r>
      </w:hyperlink>
      <w:r w:rsidRPr="009D20CE">
        <w:t xml:space="preserve"> (дата обращения: октябрь 2024).</w:t>
      </w:r>
    </w:p>
    <w:p w:rsidR="009D20CE" w:rsidRPr="009D20CE" w:rsidRDefault="009D20CE" w:rsidP="0021779B">
      <w:pPr>
        <w:pStyle w:val="af"/>
        <w:numPr>
          <w:ilvl w:val="0"/>
          <w:numId w:val="27"/>
        </w:numPr>
        <w:spacing w:after="0"/>
        <w:ind w:left="0" w:firstLine="709"/>
      </w:pPr>
      <w:r w:rsidRPr="009C5CB8">
        <w:rPr>
          <w:lang w:val="en-US"/>
        </w:rPr>
        <w:t xml:space="preserve">World Bank. Russia Economic Report – Trends in Russian Tax Policy. </w:t>
      </w:r>
      <w:r w:rsidRPr="009D20CE">
        <w:t xml:space="preserve">URL: </w:t>
      </w:r>
      <w:hyperlink r:id="rId18" w:tgtFrame="_new" w:history="1">
        <w:r w:rsidRPr="009D20CE">
          <w:rPr>
            <w:rStyle w:val="ae"/>
          </w:rPr>
          <w:t>https://www.worldbank.org/en/country/russia</w:t>
        </w:r>
      </w:hyperlink>
      <w:r w:rsidRPr="009D20CE">
        <w:t xml:space="preserve"> (дата обращения: </w:t>
      </w:r>
      <w:r>
        <w:t>4 октября</w:t>
      </w:r>
      <w:r w:rsidRPr="009D20CE">
        <w:t xml:space="preserve"> 2024).</w:t>
      </w:r>
    </w:p>
    <w:p w:rsidR="009D20CE" w:rsidRPr="009D20CE" w:rsidRDefault="009D20CE" w:rsidP="0021779B">
      <w:pPr>
        <w:pStyle w:val="af"/>
        <w:numPr>
          <w:ilvl w:val="0"/>
          <w:numId w:val="27"/>
        </w:numPr>
        <w:spacing w:after="0"/>
        <w:ind w:left="0" w:firstLine="709"/>
      </w:pPr>
      <w:r w:rsidRPr="009C5CB8">
        <w:rPr>
          <w:lang w:val="en-US"/>
        </w:rPr>
        <w:t xml:space="preserve">Congressional Research Service. U.S. Corporate Tax Reform in 2017. </w:t>
      </w:r>
      <w:r w:rsidRPr="009D20CE">
        <w:t xml:space="preserve">URL: </w:t>
      </w:r>
      <w:hyperlink r:id="rId19" w:history="1">
        <w:r w:rsidRPr="00431A7A">
          <w:rPr>
            <w:rStyle w:val="ae"/>
          </w:rPr>
          <w:t>https://crsreports.congress.gov/</w:t>
        </w:r>
      </w:hyperlink>
      <w:r w:rsidRPr="009D20CE">
        <w:t xml:space="preserve">(дата обращения: </w:t>
      </w:r>
      <w:r>
        <w:t>4 октября</w:t>
      </w:r>
      <w:r w:rsidRPr="009D20CE">
        <w:t xml:space="preserve"> 2024).</w:t>
      </w:r>
    </w:p>
    <w:p w:rsidR="009D20CE" w:rsidRPr="009D20CE" w:rsidRDefault="009D20CE" w:rsidP="0021779B">
      <w:pPr>
        <w:pStyle w:val="af"/>
        <w:numPr>
          <w:ilvl w:val="0"/>
          <w:numId w:val="27"/>
        </w:numPr>
        <w:spacing w:after="0"/>
        <w:ind w:left="0" w:firstLine="709"/>
      </w:pPr>
      <w:r w:rsidRPr="009C5CB8">
        <w:rPr>
          <w:lang w:val="en-US"/>
        </w:rPr>
        <w:t xml:space="preserve">Bundesministerium der Finanzen. Einkommensteuer in Deutschland. </w:t>
      </w:r>
      <w:r w:rsidRPr="009D20CE">
        <w:t xml:space="preserve">URL: </w:t>
      </w:r>
      <w:hyperlink r:id="rId20" w:tgtFrame="_new" w:history="1">
        <w:r w:rsidRPr="009D20CE">
          <w:rPr>
            <w:rStyle w:val="ae"/>
          </w:rPr>
          <w:t>https://www.bundesfinanzministerium.de/</w:t>
        </w:r>
      </w:hyperlink>
      <w:r w:rsidRPr="009D20CE">
        <w:t xml:space="preserve"> (дата обращения: </w:t>
      </w:r>
      <w:r>
        <w:t>4 октября</w:t>
      </w:r>
      <w:r w:rsidRPr="009D20CE">
        <w:t xml:space="preserve"> 2024).</w:t>
      </w:r>
    </w:p>
    <w:p w:rsidR="009D20CE" w:rsidRPr="009D20CE" w:rsidRDefault="009D20CE" w:rsidP="0021779B">
      <w:pPr>
        <w:pStyle w:val="af"/>
        <w:numPr>
          <w:ilvl w:val="0"/>
          <w:numId w:val="27"/>
        </w:numPr>
        <w:spacing w:after="0"/>
        <w:ind w:left="0" w:firstLine="709"/>
      </w:pPr>
      <w:r w:rsidRPr="009C5CB8">
        <w:rPr>
          <w:lang w:val="en-US"/>
        </w:rPr>
        <w:t xml:space="preserve">Skatteverket. Swedish Tax Agency: Tax Rates for Individuals and Corporations. </w:t>
      </w:r>
      <w:r w:rsidRPr="009D20CE">
        <w:t xml:space="preserve">URL: </w:t>
      </w:r>
      <w:hyperlink r:id="rId21" w:tgtFrame="_new" w:history="1">
        <w:r w:rsidRPr="009D20CE">
          <w:rPr>
            <w:rStyle w:val="ae"/>
          </w:rPr>
          <w:t>https://www.skatteverket.se/</w:t>
        </w:r>
      </w:hyperlink>
      <w:r w:rsidRPr="009D20CE">
        <w:t xml:space="preserve"> (дата обращения: </w:t>
      </w:r>
      <w:r>
        <w:t>4 октября</w:t>
      </w:r>
      <w:r w:rsidRPr="009D20CE">
        <w:t xml:space="preserve"> 2024).</w:t>
      </w:r>
    </w:p>
    <w:p w:rsidR="00C36CF9" w:rsidRPr="009D20CE" w:rsidRDefault="009D20CE" w:rsidP="0021779B">
      <w:pPr>
        <w:pStyle w:val="af"/>
        <w:numPr>
          <w:ilvl w:val="0"/>
          <w:numId w:val="27"/>
        </w:numPr>
        <w:spacing w:after="0"/>
        <w:ind w:left="0" w:firstLine="709"/>
      </w:pPr>
      <w:r w:rsidRPr="009C5CB8">
        <w:rPr>
          <w:lang w:val="en-US"/>
        </w:rPr>
        <w:lastRenderedPageBreak/>
        <w:t xml:space="preserve">OECD Tax Database. Global Tax Structures and Comparative Analysis. </w:t>
      </w:r>
      <w:r w:rsidRPr="009D20CE">
        <w:t xml:space="preserve">URL: </w:t>
      </w:r>
      <w:hyperlink r:id="rId22" w:history="1">
        <w:r w:rsidR="00D21E37" w:rsidRPr="00431A7A">
          <w:rPr>
            <w:rStyle w:val="ae"/>
          </w:rPr>
          <w:t>https://www.oecd.org/tax/tax-policy/tax-database/</w:t>
        </w:r>
      </w:hyperlink>
      <w:r w:rsidRPr="009D20CE">
        <w:t>(дата обращения: октябрь 2024).</w:t>
      </w:r>
    </w:p>
    <w:sectPr w:rsidR="00C36CF9" w:rsidRPr="009D20CE" w:rsidSect="00D30D2F">
      <w:footerReference w:type="default" r:id="rId23"/>
      <w:pgSz w:w="11900" w:h="16840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02D" w:rsidRDefault="0047502D" w:rsidP="0079635F">
      <w:pPr>
        <w:spacing w:after="0" w:line="240" w:lineRule="auto"/>
      </w:pPr>
      <w:r>
        <w:separator/>
      </w:r>
    </w:p>
  </w:endnote>
  <w:endnote w:type="continuationSeparator" w:id="1">
    <w:p w:rsidR="0047502D" w:rsidRDefault="0047502D" w:rsidP="00796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143" w:rsidRDefault="00310143" w:rsidP="790CF4FF">
    <w:pPr>
      <w:pStyle w:val="ab"/>
      <w:jc w:val="center"/>
    </w:pPr>
  </w:p>
  <w:p w:rsidR="00310143" w:rsidRDefault="00310143" w:rsidP="00A90256">
    <w:pPr>
      <w:pStyle w:val="ab"/>
      <w:ind w:firstLine="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143" w:rsidRDefault="00310143" w:rsidP="002706AC">
    <w:pPr>
      <w:pStyle w:val="ab"/>
      <w:ind w:left="-567" w:firstLine="0"/>
      <w:jc w:val="center"/>
    </w:pPr>
    <w:r>
      <w:t>3</w:t>
    </w:r>
  </w:p>
  <w:p w:rsidR="00310143" w:rsidRDefault="00310143" w:rsidP="00D30D2F">
    <w:pPr>
      <w:pStyle w:val="ab"/>
      <w:ind w:left="-567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98341"/>
    </w:sdtPr>
    <w:sdtContent>
      <w:p w:rsidR="00310143" w:rsidRDefault="00B501B9">
        <w:pPr>
          <w:pStyle w:val="ab"/>
          <w:jc w:val="center"/>
        </w:pPr>
        <w:r>
          <w:fldChar w:fldCharType="begin"/>
        </w:r>
        <w:r w:rsidR="00D81108">
          <w:instrText xml:space="preserve"> PAGE   \* MERGEFORMAT </w:instrText>
        </w:r>
        <w:r>
          <w:fldChar w:fldCharType="separate"/>
        </w:r>
        <w:r w:rsidR="002C318F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310143" w:rsidRDefault="00310143" w:rsidP="00A90256">
    <w:pPr>
      <w:pStyle w:val="ab"/>
      <w:ind w:firstLine="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02D" w:rsidRDefault="0047502D" w:rsidP="0079635F">
      <w:pPr>
        <w:spacing w:after="0" w:line="240" w:lineRule="auto"/>
      </w:pPr>
      <w:r>
        <w:separator/>
      </w:r>
    </w:p>
  </w:footnote>
  <w:footnote w:type="continuationSeparator" w:id="1">
    <w:p w:rsidR="0047502D" w:rsidRDefault="0047502D" w:rsidP="00796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6A0"/>
    </w:tblPr>
    <w:tblGrid>
      <w:gridCol w:w="3116"/>
      <w:gridCol w:w="3116"/>
      <w:gridCol w:w="3116"/>
    </w:tblGrid>
    <w:tr w:rsidR="00310143" w:rsidTr="790CF4FF">
      <w:tc>
        <w:tcPr>
          <w:tcW w:w="3116" w:type="dxa"/>
        </w:tcPr>
        <w:p w:rsidR="00310143" w:rsidRDefault="00310143" w:rsidP="790CF4FF">
          <w:pPr>
            <w:pStyle w:val="a9"/>
            <w:ind w:left="-115"/>
            <w:jc w:val="left"/>
          </w:pPr>
        </w:p>
      </w:tc>
      <w:tc>
        <w:tcPr>
          <w:tcW w:w="3116" w:type="dxa"/>
        </w:tcPr>
        <w:p w:rsidR="00310143" w:rsidRDefault="00310143" w:rsidP="790CF4FF">
          <w:pPr>
            <w:pStyle w:val="a9"/>
            <w:jc w:val="center"/>
          </w:pPr>
        </w:p>
      </w:tc>
      <w:tc>
        <w:tcPr>
          <w:tcW w:w="3116" w:type="dxa"/>
        </w:tcPr>
        <w:p w:rsidR="00310143" w:rsidRDefault="00310143" w:rsidP="790CF4FF">
          <w:pPr>
            <w:pStyle w:val="a9"/>
            <w:ind w:right="-115"/>
            <w:jc w:val="right"/>
          </w:pPr>
        </w:p>
      </w:tc>
    </w:tr>
  </w:tbl>
  <w:p w:rsidR="00310143" w:rsidRDefault="00310143" w:rsidP="790CF4F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6A0"/>
    </w:tblPr>
    <w:tblGrid>
      <w:gridCol w:w="3116"/>
      <w:gridCol w:w="3116"/>
      <w:gridCol w:w="3116"/>
    </w:tblGrid>
    <w:tr w:rsidR="00310143" w:rsidTr="790CF4FF">
      <w:tc>
        <w:tcPr>
          <w:tcW w:w="3116" w:type="dxa"/>
        </w:tcPr>
        <w:p w:rsidR="00310143" w:rsidRDefault="00310143" w:rsidP="790CF4FF">
          <w:pPr>
            <w:pStyle w:val="a9"/>
            <w:ind w:left="-115"/>
            <w:jc w:val="left"/>
          </w:pPr>
        </w:p>
      </w:tc>
      <w:tc>
        <w:tcPr>
          <w:tcW w:w="3116" w:type="dxa"/>
        </w:tcPr>
        <w:p w:rsidR="00310143" w:rsidRDefault="00310143" w:rsidP="790CF4FF">
          <w:pPr>
            <w:pStyle w:val="a9"/>
            <w:jc w:val="center"/>
          </w:pPr>
        </w:p>
      </w:tc>
      <w:tc>
        <w:tcPr>
          <w:tcW w:w="3116" w:type="dxa"/>
        </w:tcPr>
        <w:p w:rsidR="00310143" w:rsidRDefault="00310143" w:rsidP="790CF4FF">
          <w:pPr>
            <w:pStyle w:val="a9"/>
            <w:ind w:right="-115"/>
            <w:jc w:val="right"/>
          </w:pPr>
        </w:p>
      </w:tc>
    </w:tr>
  </w:tbl>
  <w:p w:rsidR="00310143" w:rsidRDefault="00310143" w:rsidP="790CF4F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F2CE0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D208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2673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CECB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ECC52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1A46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785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248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DCD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CA17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F4FEA"/>
    <w:multiLevelType w:val="hybridMultilevel"/>
    <w:tmpl w:val="2006D2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1EF27A3"/>
    <w:multiLevelType w:val="hybridMultilevel"/>
    <w:tmpl w:val="8424F1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5A91F3A"/>
    <w:multiLevelType w:val="hybridMultilevel"/>
    <w:tmpl w:val="5B9E29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EC65782"/>
    <w:multiLevelType w:val="multilevel"/>
    <w:tmpl w:val="9910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1928D2"/>
    <w:multiLevelType w:val="multilevel"/>
    <w:tmpl w:val="58E4A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250EB0"/>
    <w:multiLevelType w:val="hybridMultilevel"/>
    <w:tmpl w:val="465C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878D2"/>
    <w:multiLevelType w:val="multilevel"/>
    <w:tmpl w:val="E0F4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DE6161"/>
    <w:multiLevelType w:val="multilevel"/>
    <w:tmpl w:val="2956290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7083593"/>
    <w:multiLevelType w:val="multilevel"/>
    <w:tmpl w:val="B5C49F6A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48977C1F"/>
    <w:multiLevelType w:val="multilevel"/>
    <w:tmpl w:val="B5C49F6A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49FC1B09"/>
    <w:multiLevelType w:val="hybridMultilevel"/>
    <w:tmpl w:val="CA662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A7E01D8"/>
    <w:multiLevelType w:val="multilevel"/>
    <w:tmpl w:val="B5C49F6A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BF42104"/>
    <w:multiLevelType w:val="multilevel"/>
    <w:tmpl w:val="7F9AB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413CF3"/>
    <w:multiLevelType w:val="multilevel"/>
    <w:tmpl w:val="E460FCEE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1B95D2F"/>
    <w:multiLevelType w:val="multilevel"/>
    <w:tmpl w:val="246C8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667F07"/>
    <w:multiLevelType w:val="multilevel"/>
    <w:tmpl w:val="EDA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D14219"/>
    <w:multiLevelType w:val="multilevel"/>
    <w:tmpl w:val="EAD6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3"/>
  </w:num>
  <w:num w:numId="12">
    <w:abstractNumId w:val="19"/>
  </w:num>
  <w:num w:numId="13">
    <w:abstractNumId w:val="21"/>
  </w:num>
  <w:num w:numId="14">
    <w:abstractNumId w:val="15"/>
  </w:num>
  <w:num w:numId="15">
    <w:abstractNumId w:val="11"/>
  </w:num>
  <w:num w:numId="16">
    <w:abstractNumId w:val="18"/>
  </w:num>
  <w:num w:numId="17">
    <w:abstractNumId w:val="10"/>
  </w:num>
  <w:num w:numId="18">
    <w:abstractNumId w:val="17"/>
  </w:num>
  <w:num w:numId="19">
    <w:abstractNumId w:val="22"/>
  </w:num>
  <w:num w:numId="20">
    <w:abstractNumId w:val="26"/>
  </w:num>
  <w:num w:numId="21">
    <w:abstractNumId w:val="12"/>
  </w:num>
  <w:num w:numId="22">
    <w:abstractNumId w:val="25"/>
  </w:num>
  <w:num w:numId="23">
    <w:abstractNumId w:val="24"/>
  </w:num>
  <w:num w:numId="24">
    <w:abstractNumId w:val="16"/>
  </w:num>
  <w:num w:numId="25">
    <w:abstractNumId w:val="13"/>
  </w:num>
  <w:num w:numId="26">
    <w:abstractNumId w:val="14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16C6"/>
    <w:rsid w:val="000032CB"/>
    <w:rsid w:val="00013998"/>
    <w:rsid w:val="000337D3"/>
    <w:rsid w:val="00052126"/>
    <w:rsid w:val="00053828"/>
    <w:rsid w:val="00061E20"/>
    <w:rsid w:val="00121B08"/>
    <w:rsid w:val="00160E5E"/>
    <w:rsid w:val="00195AF0"/>
    <w:rsid w:val="00195E29"/>
    <w:rsid w:val="001D2CF2"/>
    <w:rsid w:val="001D67F3"/>
    <w:rsid w:val="001F4E55"/>
    <w:rsid w:val="001F661F"/>
    <w:rsid w:val="0021585B"/>
    <w:rsid w:val="0021779B"/>
    <w:rsid w:val="00224C4E"/>
    <w:rsid w:val="00235C05"/>
    <w:rsid w:val="002706AC"/>
    <w:rsid w:val="002829FC"/>
    <w:rsid w:val="002C318F"/>
    <w:rsid w:val="00310143"/>
    <w:rsid w:val="003327E5"/>
    <w:rsid w:val="00354F39"/>
    <w:rsid w:val="00363104"/>
    <w:rsid w:val="00382260"/>
    <w:rsid w:val="00414331"/>
    <w:rsid w:val="0047502D"/>
    <w:rsid w:val="006016C6"/>
    <w:rsid w:val="0061657C"/>
    <w:rsid w:val="00640FB9"/>
    <w:rsid w:val="0066730E"/>
    <w:rsid w:val="006D2457"/>
    <w:rsid w:val="0074376B"/>
    <w:rsid w:val="00792C8C"/>
    <w:rsid w:val="0079635F"/>
    <w:rsid w:val="007A4D1E"/>
    <w:rsid w:val="007F0B65"/>
    <w:rsid w:val="008D0F87"/>
    <w:rsid w:val="008F1D4E"/>
    <w:rsid w:val="009101DF"/>
    <w:rsid w:val="00956FD1"/>
    <w:rsid w:val="009C5CB8"/>
    <w:rsid w:val="009D20CE"/>
    <w:rsid w:val="009E153D"/>
    <w:rsid w:val="00A4399B"/>
    <w:rsid w:val="00A7090D"/>
    <w:rsid w:val="00A84011"/>
    <w:rsid w:val="00A90256"/>
    <w:rsid w:val="00AA41A8"/>
    <w:rsid w:val="00AD6990"/>
    <w:rsid w:val="00AF1249"/>
    <w:rsid w:val="00AF70B6"/>
    <w:rsid w:val="00B501B9"/>
    <w:rsid w:val="00B62303"/>
    <w:rsid w:val="00C36CF9"/>
    <w:rsid w:val="00C40549"/>
    <w:rsid w:val="00C44AB0"/>
    <w:rsid w:val="00C50B88"/>
    <w:rsid w:val="00C52B92"/>
    <w:rsid w:val="00CB0BF9"/>
    <w:rsid w:val="00CE06F2"/>
    <w:rsid w:val="00D21E37"/>
    <w:rsid w:val="00D30D2F"/>
    <w:rsid w:val="00D55181"/>
    <w:rsid w:val="00D81108"/>
    <w:rsid w:val="00D93E61"/>
    <w:rsid w:val="00DA71C5"/>
    <w:rsid w:val="00DF6094"/>
    <w:rsid w:val="00EE0138"/>
    <w:rsid w:val="00FD415D"/>
    <w:rsid w:val="790CF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0256"/>
    <w:pPr>
      <w:spacing w:after="120" w:line="360" w:lineRule="auto"/>
      <w:ind w:firstLine="709"/>
      <w:jc w:val="both"/>
    </w:pPr>
    <w:rPr>
      <w:rFonts w:ascii="Times New Roman" w:eastAsiaTheme="minorEastAsia" w:hAnsi="Times New Roman" w:cs="Times New Roman"/>
      <w:color w:val="000000" w:themeColor="text1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A90256"/>
    <w:pPr>
      <w:keepNext/>
      <w:keepLines/>
      <w:spacing w:before="240" w:after="240"/>
      <w:ind w:firstLine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90256"/>
    <w:pPr>
      <w:keepNext/>
      <w:keepLines/>
      <w:ind w:firstLine="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21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5E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9635F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9635F"/>
    <w:rPr>
      <w:rFonts w:ascii="Times New Roman" w:eastAsiaTheme="minorEastAsia" w:hAnsi="Times New Roman" w:cs="Times New Roman"/>
      <w:sz w:val="20"/>
      <w:szCs w:val="20"/>
      <w:lang w:eastAsia="zh-CN"/>
    </w:rPr>
  </w:style>
  <w:style w:type="character" w:styleId="a5">
    <w:name w:val="endnote reference"/>
    <w:basedOn w:val="a0"/>
    <w:uiPriority w:val="99"/>
    <w:semiHidden/>
    <w:unhideWhenUsed/>
    <w:rsid w:val="007963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E153D"/>
    <w:pPr>
      <w:spacing w:after="0" w:line="240" w:lineRule="auto"/>
    </w:pPr>
    <w:rPr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53D"/>
    <w:rPr>
      <w:rFonts w:ascii="Times New Roman" w:eastAsiaTheme="minorEastAsia" w:hAnsi="Times New Roman" w:cs="Times New Roman"/>
      <w:sz w:val="18"/>
      <w:szCs w:val="18"/>
      <w:lang w:eastAsia="zh-CN"/>
    </w:rPr>
  </w:style>
  <w:style w:type="table" w:styleId="a8">
    <w:name w:val="Table Grid"/>
    <w:basedOn w:val="a1"/>
    <w:uiPriority w:val="39"/>
    <w:rsid w:val="009E1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90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0256"/>
    <w:rPr>
      <w:rFonts w:ascii="Times New Roman" w:eastAsiaTheme="minorEastAsia" w:hAnsi="Times New Roman" w:cs="Times New Roman"/>
      <w:sz w:val="28"/>
      <w:szCs w:val="28"/>
      <w:lang w:eastAsia="zh-CN"/>
    </w:rPr>
  </w:style>
  <w:style w:type="paragraph" w:styleId="ab">
    <w:name w:val="footer"/>
    <w:basedOn w:val="a"/>
    <w:link w:val="ac"/>
    <w:uiPriority w:val="99"/>
    <w:unhideWhenUsed/>
    <w:rsid w:val="00A90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0256"/>
    <w:rPr>
      <w:rFonts w:ascii="Times New Roman" w:eastAsiaTheme="minorEastAsia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A90256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zh-CN"/>
    </w:rPr>
  </w:style>
  <w:style w:type="paragraph" w:styleId="ad">
    <w:name w:val="TOC Heading"/>
    <w:basedOn w:val="1"/>
    <w:next w:val="a"/>
    <w:uiPriority w:val="39"/>
    <w:unhideWhenUsed/>
    <w:qFormat/>
    <w:rsid w:val="00A90256"/>
    <w:pPr>
      <w:spacing w:before="480" w:line="276" w:lineRule="auto"/>
      <w:jc w:val="left"/>
      <w:outlineLvl w:val="9"/>
    </w:pPr>
    <w:rPr>
      <w:b w:val="0"/>
      <w:bCs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90256"/>
    <w:pPr>
      <w:spacing w:after="0"/>
      <w:ind w:firstLine="0"/>
    </w:pPr>
    <w:rPr>
      <w:rFonts w:cstheme="minorHAnsi"/>
      <w:bCs/>
      <w:iCs/>
      <w:szCs w:val="24"/>
    </w:rPr>
  </w:style>
  <w:style w:type="paragraph" w:styleId="21">
    <w:name w:val="toc 2"/>
    <w:basedOn w:val="a"/>
    <w:next w:val="a"/>
    <w:autoRedefine/>
    <w:uiPriority w:val="39"/>
    <w:unhideWhenUsed/>
    <w:rsid w:val="000032CB"/>
    <w:pPr>
      <w:spacing w:after="0"/>
      <w:ind w:left="278" w:firstLine="0"/>
    </w:pPr>
    <w:rPr>
      <w:rFonts w:cstheme="minorHAnsi"/>
      <w:bCs/>
      <w:szCs w:val="22"/>
    </w:rPr>
  </w:style>
  <w:style w:type="paragraph" w:styleId="31">
    <w:name w:val="toc 3"/>
    <w:basedOn w:val="a"/>
    <w:next w:val="a"/>
    <w:autoRedefine/>
    <w:uiPriority w:val="39"/>
    <w:unhideWhenUsed/>
    <w:rsid w:val="00A90256"/>
    <w:pPr>
      <w:spacing w:after="0"/>
      <w:ind w:left="560"/>
      <w:jc w:val="left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unhideWhenUsed/>
    <w:rsid w:val="00A90256"/>
    <w:pPr>
      <w:spacing w:after="0"/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A90256"/>
    <w:pPr>
      <w:spacing w:after="0"/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A90256"/>
    <w:pPr>
      <w:spacing w:after="0"/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A90256"/>
    <w:pPr>
      <w:spacing w:after="0"/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A90256"/>
    <w:pPr>
      <w:spacing w:after="0"/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A90256"/>
    <w:pPr>
      <w:spacing w:after="0"/>
      <w:ind w:left="224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90256"/>
    <w:rPr>
      <w:rFonts w:ascii="Times New Roman" w:eastAsiaTheme="majorEastAsia" w:hAnsi="Times New Roman" w:cstheme="majorBidi"/>
      <w:b/>
      <w:color w:val="000000" w:themeColor="text1"/>
      <w:sz w:val="28"/>
      <w:szCs w:val="26"/>
      <w:lang w:eastAsia="zh-CN"/>
    </w:rPr>
  </w:style>
  <w:style w:type="character" w:styleId="ae">
    <w:name w:val="Hyperlink"/>
    <w:basedOn w:val="a0"/>
    <w:uiPriority w:val="99"/>
    <w:unhideWhenUsed/>
    <w:rsid w:val="00A90256"/>
    <w:rPr>
      <w:color w:val="0563C1" w:themeColor="hyperlink"/>
      <w:u w:val="single"/>
    </w:rPr>
  </w:style>
  <w:style w:type="paragraph" w:styleId="af">
    <w:name w:val="List Paragraph"/>
    <w:basedOn w:val="a"/>
    <w:uiPriority w:val="34"/>
    <w:qFormat/>
    <w:rsid w:val="00C36CF9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01399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2126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195E29"/>
    <w:rPr>
      <w:rFonts w:asciiTheme="majorHAnsi" w:eastAsiaTheme="majorEastAsia" w:hAnsiTheme="majorHAnsi" w:cstheme="majorBidi"/>
      <w:b/>
      <w:bCs/>
      <w:i/>
      <w:iCs/>
      <w:color w:val="4472C4" w:themeColor="accent1"/>
      <w:sz w:val="28"/>
      <w:szCs w:val="28"/>
      <w:lang w:eastAsia="zh-CN"/>
    </w:rPr>
  </w:style>
  <w:style w:type="character" w:styleId="af1">
    <w:name w:val="Strong"/>
    <w:basedOn w:val="a0"/>
    <w:uiPriority w:val="22"/>
    <w:qFormat/>
    <w:rsid w:val="00D30D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nalog.gov.ru/" TargetMode="External"/><Relationship Id="rId18" Type="http://schemas.openxmlformats.org/officeDocument/2006/relationships/hyperlink" Target="https://www.worldbank.org/en/country/russi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katteverket.se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https://www.irs.gov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tat.gov.ru/" TargetMode="External"/><Relationship Id="rId20" Type="http://schemas.openxmlformats.org/officeDocument/2006/relationships/hyperlink" Target="https://www.bundesfinanzministerium.d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home.kpmg/xx/en/home/services/tax/tax-tools-and-resources/tax-rates-online.html" TargetMode="External"/><Relationship Id="rId23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hyperlink" Target="https://crsreports.congress.gov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infin.gov.ru/" TargetMode="External"/><Relationship Id="rId22" Type="http://schemas.openxmlformats.org/officeDocument/2006/relationships/hyperlink" Target="https://www.oecd.org/tax/tax-policy/tax-databas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F8D851-350D-4594-A280-A727C8CB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3646</Words>
  <Characters>20785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галкин</dc:creator>
  <cp:keywords/>
  <dc:description/>
  <cp:lastModifiedBy>Степан</cp:lastModifiedBy>
  <cp:revision>24</cp:revision>
  <cp:lastPrinted>2024-10-13T12:08:00Z</cp:lastPrinted>
  <dcterms:created xsi:type="dcterms:W3CDTF">2020-04-12T13:06:00Z</dcterms:created>
  <dcterms:modified xsi:type="dcterms:W3CDTF">2024-10-13T12:10:00Z</dcterms:modified>
</cp:coreProperties>
</file>