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CE" w:rsidRPr="00177D16" w:rsidRDefault="004368A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177D16">
        <w:rPr>
          <w:rFonts w:ascii="Times New Roman" w:eastAsia="Times New Roman" w:hAnsi="Times New Roman" w:cs="Times New Roman"/>
          <w:i/>
          <w:sz w:val="28"/>
          <w:szCs w:val="28"/>
        </w:rPr>
        <w:t>Росихина</w:t>
      </w:r>
      <w:proofErr w:type="spellEnd"/>
      <w:r w:rsidRPr="00177D16">
        <w:rPr>
          <w:rFonts w:ascii="Times New Roman" w:eastAsia="Times New Roman" w:hAnsi="Times New Roman" w:cs="Times New Roman"/>
          <w:i/>
          <w:sz w:val="28"/>
          <w:szCs w:val="28"/>
        </w:rPr>
        <w:t xml:space="preserve"> Г.Ш.</w:t>
      </w:r>
    </w:p>
    <w:p w:rsidR="00C847CE" w:rsidRPr="00177D16" w:rsidRDefault="004368A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i/>
          <w:sz w:val="28"/>
          <w:szCs w:val="28"/>
        </w:rPr>
        <w:t>РФ, Казань</w:t>
      </w:r>
    </w:p>
    <w:p w:rsidR="00C847CE" w:rsidRPr="00177D16" w:rsidRDefault="00C847C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847CE" w:rsidRPr="00177D16" w:rsidRDefault="004368A4" w:rsidP="00177D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ТРАДИЦИИ</w:t>
      </w:r>
      <w:r w:rsidRPr="00177D16">
        <w:rPr>
          <w:rFonts w:ascii="Times New Roman" w:eastAsia="PT Astra Serif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ЛИНГВИСТИЧЕСКОГО</w:t>
      </w:r>
      <w:r w:rsidRPr="00177D16">
        <w:rPr>
          <w:rFonts w:ascii="Times New Roman" w:eastAsia="PT Astra Serif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ОБРАЗОВАНИЯ</w:t>
      </w:r>
      <w:r w:rsidRPr="00177D16">
        <w:rPr>
          <w:rFonts w:ascii="Times New Roman" w:eastAsia="PT Astra Serif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Pr="00177D16">
        <w:rPr>
          <w:rFonts w:ascii="Times New Roman" w:eastAsia="PT Astra Serif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КАЗАНСКОМ</w:t>
      </w:r>
      <w:r w:rsidRPr="00177D16">
        <w:rPr>
          <w:rFonts w:ascii="Times New Roman" w:eastAsia="PT Astra Serif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СУВОРОВСКОМ</w:t>
      </w:r>
      <w:r w:rsidRPr="00177D16">
        <w:rPr>
          <w:rFonts w:ascii="Times New Roman" w:eastAsia="PT Astra Serif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ВОЕННОМ</w:t>
      </w:r>
      <w:r w:rsidRPr="00177D16">
        <w:rPr>
          <w:rFonts w:ascii="Times New Roman" w:eastAsia="PT Astra Serif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УЧИЛИЩЕ</w:t>
      </w:r>
    </w:p>
    <w:p w:rsidR="00C847CE" w:rsidRPr="00177D16" w:rsidRDefault="00C847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7CE" w:rsidRPr="004368A4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177D16">
        <w:rPr>
          <w:rFonts w:ascii="Times New Roman" w:eastAsia="Times New Roman" w:hAnsi="Times New Roman" w:cs="Times New Roman"/>
          <w:b/>
          <w:i/>
          <w:sz w:val="28"/>
          <w:szCs w:val="28"/>
        </w:rPr>
        <w:t>A</w:t>
      </w:r>
      <w:proofErr w:type="gramEnd"/>
      <w:r w:rsidRPr="00177D16">
        <w:rPr>
          <w:rFonts w:ascii="Times New Roman" w:eastAsia="Times New Roman" w:hAnsi="Times New Roman" w:cs="Times New Roman"/>
          <w:b/>
          <w:i/>
          <w:sz w:val="28"/>
          <w:szCs w:val="28"/>
        </w:rPr>
        <w:t>ннотация</w:t>
      </w:r>
      <w:proofErr w:type="spellEnd"/>
      <w:r w:rsidRPr="00177D16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Pr="0017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8A4">
        <w:rPr>
          <w:rFonts w:ascii="Times New Roman" w:eastAsia="Times New Roman" w:hAnsi="Times New Roman" w:cs="Times New Roman"/>
          <w:sz w:val="28"/>
          <w:szCs w:val="28"/>
        </w:rPr>
        <w:t>Существуют свои устоявшиеся традиции лингвистического обучения</w:t>
      </w:r>
      <w:r w:rsidRPr="004368A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Pr="004368A4">
        <w:rPr>
          <w:rFonts w:ascii="Times New Roman" w:eastAsia="Times New Roman" w:hAnsi="Times New Roman" w:cs="Times New Roman"/>
          <w:sz w:val="28"/>
          <w:szCs w:val="28"/>
        </w:rPr>
        <w:t>Казанском</w:t>
      </w:r>
      <w:proofErr w:type="gramEnd"/>
      <w:r w:rsidRPr="004368A4">
        <w:rPr>
          <w:rFonts w:ascii="Times New Roman" w:eastAsia="Times New Roman" w:hAnsi="Times New Roman" w:cs="Times New Roman"/>
          <w:sz w:val="28"/>
          <w:szCs w:val="28"/>
        </w:rPr>
        <w:t xml:space="preserve"> СВУ. Однако время неумолимо бежит вперед и ставит перед педагогами новые задачи. </w:t>
      </w:r>
      <w:r w:rsidRPr="004368A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368A4">
        <w:rPr>
          <w:rFonts w:ascii="Times New Roman" w:eastAsia="Times New Roman" w:hAnsi="Times New Roman" w:cs="Times New Roman"/>
          <w:sz w:val="28"/>
          <w:szCs w:val="28"/>
        </w:rPr>
        <w:t>Умение ставить образовательные цели и определять пути их достижения является важным условием формирован</w:t>
      </w:r>
      <w:r w:rsidRPr="004368A4">
        <w:rPr>
          <w:rFonts w:ascii="Times New Roman" w:eastAsia="Times New Roman" w:hAnsi="Times New Roman" w:cs="Times New Roman"/>
          <w:sz w:val="28"/>
          <w:szCs w:val="28"/>
        </w:rPr>
        <w:t xml:space="preserve">ия активной и самостоятельной личности. Автор представляет свой опыт работы по развитию учебной автономии суворовцев </w:t>
      </w:r>
      <w:proofErr w:type="gramStart"/>
      <w:r w:rsidRPr="004368A4">
        <w:rPr>
          <w:rFonts w:ascii="Times New Roman" w:eastAsia="Times New Roman" w:hAnsi="Times New Roman" w:cs="Times New Roman"/>
          <w:sz w:val="28"/>
          <w:szCs w:val="28"/>
        </w:rPr>
        <w:t>Казанского</w:t>
      </w:r>
      <w:proofErr w:type="gramEnd"/>
      <w:r w:rsidRPr="004368A4">
        <w:rPr>
          <w:rFonts w:ascii="Times New Roman" w:eastAsia="Times New Roman" w:hAnsi="Times New Roman" w:cs="Times New Roman"/>
          <w:sz w:val="28"/>
          <w:szCs w:val="28"/>
        </w:rPr>
        <w:t xml:space="preserve"> СВУ.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b/>
          <w:i/>
          <w:sz w:val="28"/>
          <w:szCs w:val="28"/>
        </w:rPr>
        <w:t>Ключевые слова</w:t>
      </w:r>
      <w:r w:rsidRPr="00177D16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177D16">
        <w:rPr>
          <w:rFonts w:ascii="Times New Roman" w:eastAsia="Times New Roman" w:hAnsi="Times New Roman" w:cs="Times New Roman"/>
          <w:sz w:val="28"/>
          <w:szCs w:val="28"/>
        </w:rPr>
        <w:t xml:space="preserve"> учебная автономия, самостоятельность, осознанность, инициативность, творчество.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В год славного юбилея Казан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суворовского училища невольно всплывает в памяти Школа математических и </w:t>
      </w: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навигацких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 в Москве, первые кадетские корпуса, созданные в России при Петре Великом. Эти школы ставили целью воспитать благородное юношество, дать офицерам военную подготовк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у и воспитать соответствующий моральный дух. Опыт кадетских школ был положен в основу суворовских училищ, которые были открыты в суровые годы Великой Отечественной войны для тысячи детей школьного возраста, оставшихся без крова, без сре</w:t>
      </w:r>
      <w:proofErr w:type="gram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к с</w:t>
      </w:r>
      <w:proofErr w:type="gram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уществованию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Суворовские училища имели целью подготовить будущих офицеров со школьной скамьи, прививая им любовь к Родине и воинским традициям. </w:t>
      </w:r>
    </w:p>
    <w:p w:rsidR="00C847CE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Основная цель обучения в суворовских училищах в настоящее время – интеллектуальное, культурное, физическое и нравственное 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обучающихся, создание основы для подготовки несовершеннолетних граждан к служению Отечеству, как на военном, так и на гражданском поприще.</w:t>
      </w:r>
    </w:p>
    <w:p w:rsidR="00177D16" w:rsidRPr="00177D16" w:rsidRDefault="00177D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Казанское суворовское училище всегда славилось своими лингвистическими традициями. В разное время здесь изучались французский, немецкий, английский языки и даже язык фарси. </w:t>
      </w:r>
      <w:r w:rsidR="00730A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Первые выпускники вспоминают, что французский язык изучался в объеме 8 часов в неделю, то есть было глубокое погружение в культуру изучаемого языка. Устраивались даже дни французского языка, когда не только суворовцы, но и преподаватели, воспитатели и персонал говорил на </w:t>
      </w:r>
      <w:proofErr w:type="gramStart"/>
      <w:r w:rsidR="00730A01">
        <w:rPr>
          <w:rFonts w:ascii="Times New Roman" w:eastAsia="Times New Roman" w:hAnsi="Times New Roman" w:cs="Times New Roman"/>
          <w:color w:val="000000"/>
          <w:sz w:val="28"/>
          <w:szCs w:val="28"/>
        </w:rPr>
        <w:t>французском</w:t>
      </w:r>
      <w:proofErr w:type="gramEnd"/>
      <w:r w:rsidR="00730A01">
        <w:rPr>
          <w:rFonts w:ascii="Times New Roman" w:eastAsia="Times New Roman" w:hAnsi="Times New Roman" w:cs="Times New Roman"/>
          <w:color w:val="000000"/>
          <w:sz w:val="28"/>
          <w:szCs w:val="28"/>
        </w:rPr>
        <w:t>. В настоящее время преподаватели стараются создать условия для англоязычного общения в урочной и внеурочной деятельности. При проведении недели английского языка все объявления делаются на английском, меню в столовой представлено также на английском языке. Изменилась и методика преподавания иностранных языков</w:t>
      </w:r>
      <w:proofErr w:type="gramStart"/>
      <w:r w:rsidR="00730A0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="004368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Коммуникативный подход в обучении делает процесс изучения языка более значимым для суворовцев, мотивируя их тем самым на активную языковую деятельность.</w:t>
      </w:r>
    </w:p>
    <w:p w:rsidR="00C847CE" w:rsidRPr="00177D16" w:rsidRDefault="00177D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368A4"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овременные стандарты требуют от подрастающего поколения быть готовыми и способными «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образованию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самообразованию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на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протяжении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всей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жизни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,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том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числе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использованием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изучаемого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иностранного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языка</w:t>
      </w:r>
      <w:r w:rsidR="004368A4" w:rsidRPr="00177D16">
        <w:rPr>
          <w:rFonts w:ascii="Times New Roman" w:eastAsia="PT Astra Serif" w:hAnsi="Times New Roman" w:cs="Times New Roman"/>
          <w:color w:val="000000"/>
          <w:spacing w:val="2"/>
          <w:sz w:val="28"/>
          <w:szCs w:val="28"/>
        </w:rPr>
        <w:t xml:space="preserve">»[1],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поэтому</w:t>
      </w:r>
      <w:r w:rsidR="004368A4" w:rsidRPr="00177D16"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368A4" w:rsidRPr="00177D16"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практике работы в Казанском </w:t>
      </w:r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СВУ преподаватели</w:t>
      </w:r>
      <w:proofErr w:type="gramEnd"/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иностранного языка прибегают к разным инструментам развития учебной автономии </w:t>
      </w:r>
      <w:proofErr w:type="gramStart"/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обучающихся</w:t>
      </w:r>
      <w:proofErr w:type="gramEnd"/>
      <w:r w:rsidR="004368A4"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. </w:t>
      </w:r>
    </w:p>
    <w:p w:rsidR="00C847CE" w:rsidRPr="00177D16" w:rsidRDefault="00436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Технология применения коммуникативных заданий позволяет активизировать речевую деятельность на уроке. Основой метода является сосредоточение на ко</w:t>
      </w:r>
      <w:r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ммуникации, которая дает обучающимся возможность использовать ту лексику, которую они хотят. Желание говорить стимулирует обучающегося на дальнейшее осознанное изучение языкового материала. С нашей точки зрения, это самый мотивирующий метод обучения иностр</w:t>
      </w:r>
      <w:r w:rsidRPr="00177D1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анному языку, так как обучающийся вынужден работать над языком, чтобы говорить то, что он хочет говорить.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</w:pP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Технология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развития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критического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мышления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способствует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формированию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самостоятельности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постановке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вопроса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понимание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проблемы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которую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необходимо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решить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одной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стороны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критическое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мышление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носит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индивидуальный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самостоятельный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характер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обучающийся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генерирует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свои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идеи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находит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собственное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решение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проблемы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разумно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аргументирует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его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другой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стороны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критическое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мышление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носит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социальный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характер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как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все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идеи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проверяются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реализуются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контексте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социума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поскольку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иностранный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язык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является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целью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изучения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средством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познания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мира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необходимость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делиться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своими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мыслями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является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очевидной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Когда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обучающийся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сравнивает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умел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знал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тем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чему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научился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его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активная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жизненная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позиция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проявляется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особенно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ярко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практике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используем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разные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работы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предусматривающие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развитие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критического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мышления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эссе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сочинение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рассуждение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дискуссия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диалог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ролева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игра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Наши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суворовцы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принимают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участие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олимпиадах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разного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уровня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Для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более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качественно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подготовки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мы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используем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технологию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интенсивного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погружения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когда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необходимо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изучить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большой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объем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страноведческого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материала</w:t>
      </w:r>
      <w:r w:rsidRPr="00177D16">
        <w:rPr>
          <w:rFonts w:ascii="Times New Roman" w:eastAsia="PT Astra Serif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Конечно, в рамках училища возможно применение лишь элементов технологии, но это позволяет “погружать” обучающихся в иноязычную среду, где возможно не только говорить, но и мыслить по-английски. Моделирование ситуаций диалога культур на занятиях способствуе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 формированию уважительного отношения к другим народам и осознанию ценности своей собственной национальной культуры. Только так возможно развить способность к межкультурной коммуникации.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преподавателей иностранного языка направлена не только на достижение образовательных результатов, но также и на создание творческой среды для всестороннего развития личности. Кроме этого внеурочная деятельность позволяет создать условия для успешной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социализации суворовцев через иностранный язык.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Технология учебного исследования</w:t>
      </w:r>
      <w:r w:rsidRPr="00177D1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позволяет суворовцам выйти на более высокий уровень познания, освоения исследовательских методов и развития нового проблемного видения.  Доля самостоятельности </w:t>
      </w:r>
      <w:proofErr w:type="gram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достаточна</w:t>
      </w:r>
      <w:proofErr w:type="gram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выс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ока при выполнении индивидуального исследования. Свои исследовательские проекты суворовцы представляют на ежегодной научно-практической конференции «Науку постигать молодым», в Казанском Федеральном университете на научно-практических конференциях имени Н.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И. Лобачевского и Л.Н. Толстого, на международной конференции «</w:t>
      </w: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Steps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in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Science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 (</w:t>
      </w: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Ярославльский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государственный университет имени П.Г Демидова) и других.</w:t>
      </w:r>
    </w:p>
    <w:p w:rsidR="00C847CE" w:rsidRPr="00177D16" w:rsidRDefault="00436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Мы считаем, что успешная реализация автономной учебной деятельности  возможна на основе применения мет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ода проектов, являющегося творческим и направленным на развитие творческой личности суворовцев [2].   Он также ориентирован на развитие самостоятельности обучающихся, их интеллектуальной, творческой и познавательной активности. Много интересных практико-ор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иентированных и творческих проектов представляют наши ребята на различных конференциях и конкурсах города Казани и Республики Татарстан. 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Вот лишь некоторые работы:  «Карманный словарик суворовца», «Тренажер для самостоятельного изучения идиоматических выра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жений», «Дети войны», «Музыка нас связала», «От суворовца до генерала», «Советские мультфильмы: перезагрузка». 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Традиционным стало и проведение фестиваля песен на английском языке. Исполнение песен не только благотворно влияет на эмоциональную сферу обучаю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щихся, снимает усталость, снижает их уровень тревожности, но и является средством расширения лексического запаса и активизации лексики в речи. Кроме того,  творческая атмосфера дает возможность реализовать себя в обстановке отличной от учебного процесса, п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озволяет строить доверительные взаимоотношения как со сверстниками, так и с преподавателями.  В будущем планируется организовать открытый 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фестиваль с приглашением исполнителей из других школ города и даже районов республики.</w:t>
      </w:r>
    </w:p>
    <w:p w:rsidR="00C847CE" w:rsidRPr="00177D16" w:rsidRDefault="004368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дополнительного образо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вания преподаватели уделяют большое внимание участию суворовцев в языковых конкурсах различных уровней, организуемых как на базе других образовательных организаций, так и между </w:t>
      </w: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довузовскими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образовательными организациями Министерства обороны Российской Фед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ерации. Наши суворовцы декламируют стихотворения, поют песни, создают видеоролики, настольные игры, участвуют в театральных постановках. Творческие конкурсы позволяют не просто развивать креативность обучающихся, но и саму личность, способную  к саморазвит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ию и познанию своих особенностей и возможностей, а также ведут к совершенствованию коммуникативных навыков и формированию навыков уверенного поведения в незнакомой среде.</w:t>
      </w:r>
    </w:p>
    <w:p w:rsidR="00C847CE" w:rsidRPr="00177D16" w:rsidRDefault="004368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 Суворовском военном училище – это не только престижно, но и интересно! Мы,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взрослые — и </w:t>
      </w:r>
      <w:proofErr w:type="gram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</w:t>
      </w:r>
      <w:proofErr w:type="gram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воспитатели, стараемся создавать условия для того, чтобы наши суворовцы научились быть ответственными и готовыми принимать самостоятельные решения, чтобы научились жить насыщенной и полноценной жизнью.  Мы верим, что каждый выпускн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ик найдет свое место в жизни и будет достойно носить имя суворовца.</w:t>
      </w:r>
    </w:p>
    <w:p w:rsidR="00C847CE" w:rsidRPr="00177D16" w:rsidRDefault="004368A4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литературы:</w:t>
      </w:r>
    </w:p>
    <w:p w:rsidR="00C847CE" w:rsidRPr="00177D16" w:rsidRDefault="004368A4">
      <w:pPr>
        <w:numPr>
          <w:ilvl w:val="0"/>
          <w:numId w:val="2"/>
        </w:numPr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среднего общего образования» [Электронный ресурс]: приказ Министерства просвещения РФ от 12.08.2022 №732. URL: </w:t>
      </w:r>
      <w:hyperlink r:id="rId6">
        <w:r w:rsidRPr="00177D1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https://fgos.ru/fgos/fgos-ooo/</w:t>
        </w:r>
      </w:hyperlink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. (дата обращения: 05.11.2023)</w:t>
      </w:r>
    </w:p>
    <w:p w:rsidR="00C847CE" w:rsidRPr="00177D16" w:rsidRDefault="004368A4">
      <w:pPr>
        <w:numPr>
          <w:ilvl w:val="0"/>
          <w:numId w:val="2"/>
        </w:numPr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Коломыцева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 В. Формирование автономной учебной деятельности обучающихся средних классов с использованием проектного метода / Т. В. </w:t>
      </w:r>
      <w:proofErr w:type="spell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Коломыцева</w:t>
      </w:r>
      <w:proofErr w:type="spell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, Д. В. Захарова. — Текст</w:t>
      </w:r>
      <w:proofErr w:type="gramStart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непосредственный // Молодой ученый. — 2022. — № 44 (439). — С. 344-347. — URL: https</w:t>
      </w:r>
      <w:r w:rsidRPr="00177D16">
        <w:rPr>
          <w:rFonts w:ascii="Times New Roman" w:eastAsia="Times New Roman" w:hAnsi="Times New Roman" w:cs="Times New Roman"/>
          <w:color w:val="000000"/>
          <w:sz w:val="28"/>
          <w:szCs w:val="28"/>
        </w:rPr>
        <w:t>://moluch.ru/archive/439/96081/ (дата обращения: 02.01.2024).</w:t>
      </w:r>
    </w:p>
    <w:sectPr w:rsidR="00C847CE" w:rsidRPr="0017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77212"/>
    <w:multiLevelType w:val="multilevel"/>
    <w:tmpl w:val="C8BC7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2D2724"/>
    <w:multiLevelType w:val="multilevel"/>
    <w:tmpl w:val="80CA62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47CE"/>
    <w:rsid w:val="00177D16"/>
    <w:rsid w:val="004368A4"/>
    <w:rsid w:val="00730A01"/>
    <w:rsid w:val="00C8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.ru/fgos/fgos-oo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Росихина Гульнара Шамиловна</cp:lastModifiedBy>
  <cp:revision>2</cp:revision>
  <cp:lastPrinted>2024-01-15T06:36:00Z</cp:lastPrinted>
  <dcterms:created xsi:type="dcterms:W3CDTF">2024-01-15T06:12:00Z</dcterms:created>
  <dcterms:modified xsi:type="dcterms:W3CDTF">2024-01-15T06:37:00Z</dcterms:modified>
</cp:coreProperties>
</file>