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92522" w:rsidRDefault="00292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2" w14:textId="02115910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Миронова Мария Васильевна,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учитель-дефектолог</w:t>
      </w:r>
    </w:p>
    <w:p w14:paraId="00000003" w14:textId="77777777" w:rsidR="00292522" w:rsidRDefault="00292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4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Экспериментирование как средство развития познавательной активности у детей с задержкой психического развития</w:t>
      </w:r>
    </w:p>
    <w:bookmarkEnd w:id="0"/>
    <w:p w14:paraId="00000005" w14:textId="77777777" w:rsidR="00292522" w:rsidRPr="00B50A23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Experimentation as a means of developing cognitive activity in children with mental retardation</w:t>
      </w:r>
    </w:p>
    <w:p w14:paraId="00000006" w14:textId="77777777" w:rsidR="00292522" w:rsidRPr="00B50A23" w:rsidRDefault="00292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00000007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 статье рассматривается актуальность использования экспериментирования в процессе познания ребенка. Показана роль данной деятельности в развитии познавательной активности детей. Экспериментирование основывается на природной любознательности и познавательн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ой потребности детей, что является средством и механизмом социально-коммуникативного развития дошкольников с задержкой психического развития.</w:t>
      </w:r>
    </w:p>
    <w:p w14:paraId="00000008" w14:textId="77777777" w:rsidR="00292522" w:rsidRPr="00B50A23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 article discusses the relevance of the use of experimentation in the process of child cognition. The role of t</w:t>
      </w: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 activity in the development of cognitive activity of children is shown. Experimentation is based on the natural curiosity and cognitive needs of children, which is a means and mechanism of social and communicative development of preschoolers with menta</w:t>
      </w: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 retardation. </w:t>
      </w:r>
    </w:p>
    <w:p w14:paraId="00000009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Ключевые слова: экспериментирование; развитие познавательного интереса; задержка психического развития; опыты, игры-эксперименты.</w:t>
      </w:r>
    </w:p>
    <w:p w14:paraId="0000000A" w14:textId="77777777" w:rsidR="00292522" w:rsidRPr="00B50A23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Keywords: experimentation; development of cognitive interest; mental retardation; experiments, experimental ga</w:t>
      </w:r>
      <w:r w:rsidRPr="00B50A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mes.</w:t>
      </w:r>
    </w:p>
    <w:p w14:paraId="0000000B" w14:textId="77777777" w:rsidR="00292522" w:rsidRPr="00B50A23" w:rsidRDefault="00292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</w:pPr>
      <w:bookmarkStart w:id="1" w:name="_gjdgxs" w:colFirst="0" w:colLast="0"/>
      <w:bookmarkEnd w:id="1"/>
    </w:p>
    <w:p w14:paraId="0000000C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Наиболее важным сенситивным периодом для формирования основных аспектов познавательной деятельности, является дошкольный период развития ребенка. В этот  период можно наблюдать не только развитие основных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гнозтических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мнестических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каналов восприяти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я, которые по ходу развития сложатся в общий процесс мышления индивида, но и становление определенных личностных характеристик, которые в будущем сформируют общий личностный портрет и « Я – концепцию». Дошкольный возраст имеет весомое значение и в формиров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ании эмоционального интеллекта ребенка.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если  эмоциональный и интеллектуальный потенциал ребенка  не имеют возможности развиваться согласно законам мозговой и психической деятельности, и основные сенситивные стадии не несут характерных новообразо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ваний в личности ребенка, то есть шанс столкнуться с разрушительными последствиями, не позволяющими реализовать потенциал ребенка дошкольника в полной мере. Особенно ярко данную закономерность можно заметить у детей с задержкой психического развития (ЗПР).</w:t>
      </w:r>
    </w:p>
    <w:p w14:paraId="0000000D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Если прибегнуть к наблюдению за детьми с ЗПР в их естественной среде сверстников, то на первый взгляд очень сложно отследить их различия. Зачастую даже близкие родственники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референтные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взрослые, не замечают отстающих характер развития их чада. К примеру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родители могут не придавать особого значения тому, что их ребёнок позднее других малышей стал совершать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манипулятивные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действия с окружающими предметами; основные явления окружающей среды такие как: громкие звуки, яркие цвета, новые вкусовые ощущения мал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о привлекают ребенка. Родители так же могут не замечать того, что их дитя позже других освоил самостоятельное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прямохождение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Явным индикатором задержки психического развития так же является речь. Зачастую отсутствие речевого поведения или стремления к нему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так же может остаться без внимания со стороны взрослых. Искажение последовательного развития  иерархической структуры психических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функций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прежде всего накладывает отпечаток на поведенческие характеристики ребенка. Поведение выступает как поле, на котором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задержка развития становится более явной. К примеру, неусидчивость, повышенный уровень возбудимости, рассеянность внимания, характерная неравномерность динамики возбуждения и утомления. Такой же характер в большинстве своем в будущем, приобретает и поведе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ние в  условиях поставленной учебной задачи. [1].</w:t>
      </w:r>
    </w:p>
    <w:p w14:paraId="0000000E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Трудности в усвоении программы детского сада становятся более очевидными ближе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предшколному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периоду взросления ребенка. Так, в этот период всё более четко проявляются основные показатели психического разв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ития, имеющие отстающий характер. Например, низкий уровень активности на занятиях, трудности в долговременном запоминании предшествующего материала, достаточно низкая концентрация активного внимания, основные показатели развитой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познавательной сферы и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более низкие, чем у сверстников. Предсказуемым является факт наличия трудностей в процессах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разномодального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восприятия (тактильного, зрительного, слухового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т.д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). Скорость отражения наиболее распространенных характеристик внешнего мира, проще говоря, пер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цепции в целом, так же имеет пониженный уровень. Так же может наблюдаться некий дефицит в ориентировочно-исследовательской деятельности, по сравнению с показателями данной характеристики у детей с нормой развития. Это проявляется в: не умении ребенка обсле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довать определенный предмет, не выраженной ориентировочной активности, затянутой стадии практической ориентации в свойствах предметов и явлений окружающего мира. </w:t>
      </w:r>
    </w:p>
    <w:p w14:paraId="0000000F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Для детей с задержкой психического развития особое значение в становлении их личности имеет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своение представлений о взаимосвязи предметов и явлений окружающей действительности с человеком. Таким образом, в ребенке выстраивается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причинно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– следственная связь человека и природы. Именно практическое взаимодействия ребенка с внешним миром, и его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метными характеристиками обеспечивает возникновение основных представлений о мироустройстве. Эти представления служат базой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поисково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– познавательной деятельности дошкольников, провоцируя тем самым, такое понятие как экспериментальные действия. </w:t>
      </w:r>
    </w:p>
    <w:p w14:paraId="00000010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Поняти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 эксперимент можно рассматривать как тождественное понятию  опыт. Поскольку именно опыт и всё, что достигается через опытный путь, помогает ребенку добыть и усвоить необходимые знания о жизни в целом. Можно рассмотреть этот тезис с точки зрения раннего 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риода развития ребенка. К примеру, тактильные ощущения после прикосновения к горячему предмету вызывает болевые ощущения. Как следствие этого пережитого опыта, появляется представление: «этот предмет вызывает неприятные болезненные ощущения, к нему лучше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е прикасаться». Тем самым, предвосхищая дальнейшее взаимодействие малыша с этим предметом, основой для которого послужил практический опыт (ожог). Именно элементарные манипуляции с предметами окружающей действительности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простраивают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представления о внешнем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мире, расширяя его границы. В процессе дальнейшего развития, у ребенка возникает представление не только о видимых характеристиках и свойствах предметов, но и представления о внутренних,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отношения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х. Если говорить о таких базовых функциях м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ышления как умозаключение, абстракция и обобщение, то их начальные формы закладываются как раз в период дошкольного развития ребенка.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Однако следует понимать, что данные категории мышления формируются на наглядно - образном уровне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и лишь с опорой на прямо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е взаимодействие с объектами и предметами познания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Ребенок познает окружающую действительность благодаря именно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исследовательской деятельности, и в этой деятельности он развивается как личность [3].</w:t>
      </w:r>
    </w:p>
    <w:p w14:paraId="00000011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Раскрывая первые проявления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сследовательск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деятельности как способа познания внешнего мира, можно заметить её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проявления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ещё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раннем детстве. Однако, на начальном этапе она более похожа на элементарн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ое и бесцельное исследовательское манипулирование с частями собственного тела, далее с наиболее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дпочитаемым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игрушками,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наконец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с другими предметами среды развития. Результатом такого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приметивного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являются навыки сличения предметов по таким характеристикам как: цвет, форма, их назначение. Если проследить динамику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еремента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или опыта у дошкольников можно выделить следующее. В начале, все действия протекают во внешнем мире, манипуляции с предметами и четкое различие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врешним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или наблюдаемым ребёнком характеристикам. Но затем вектор опыта смещается и постепенно пере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ходит в плоскость внутреннего, мысленного переживания и представления. Ребенок рассуждает о связях между предметами и классифицирует 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мысленном,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пространстве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Детское мышление осуществляет переход от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наглядно-действенного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к наглядно-об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разному и логическому. Ребенок стремиться ра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сширить рамки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причинно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- следственных связей между предметами окружающей среды и её явлениями через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вопросы: зачем, почему, как?[2]</w:t>
      </w:r>
    </w:p>
    <w:p w14:paraId="00000012" w14:textId="77777777" w:rsidR="00292522" w:rsidRDefault="00B50A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Становление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исследотельской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деятельности происходит поэтапно:</w:t>
      </w:r>
    </w:p>
    <w:p w14:paraId="00000013" w14:textId="77777777" w:rsidR="00292522" w:rsidRDefault="00B50A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 Возникновение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проблемы.</w:t>
      </w:r>
    </w:p>
    <w:p w14:paraId="00000014" w14:textId="77777777" w:rsidR="00292522" w:rsidRDefault="00B50A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2. Выдвижение гипотез (предположений).</w:t>
      </w:r>
    </w:p>
    <w:p w14:paraId="00000015" w14:textId="77777777" w:rsidR="00292522" w:rsidRDefault="00B50A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3. Опыт (практическая деятельность по проверке гипотез).</w:t>
      </w:r>
    </w:p>
    <w:p w14:paraId="00000016" w14:textId="77777777" w:rsidR="00292522" w:rsidRDefault="00B50A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4. Выводы (установление связей, умозаключения).</w:t>
      </w:r>
    </w:p>
    <w:p w14:paraId="00000017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Основное оборудование и материалы:</w:t>
      </w:r>
    </w:p>
    <w:p w14:paraId="00000018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Приборы: безмен, микроскоп, магнит, увеличительные стекла, чашечные весы, песочные часы (на 1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 минут), компас, бинокль.</w:t>
      </w:r>
      <w:proofErr w:type="gramEnd"/>
    </w:p>
    <w:p w14:paraId="00000019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2. Сосуды разного уровня проницаемости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конфигурации и объема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пластиковые бутылки, стаканы, ковши, ведерки, воронки).</w:t>
      </w:r>
    </w:p>
    <w:p w14:paraId="0000001A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3. Природны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 материалы: камни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разной цветовой палитры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минералы, глина, различные виды грунта, уголь, крупный и мелкий песок (разный по цвету), пер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ракушки, шишки, скорлупа орехов,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деревьев, листья, ветки, пух, лесной мох, семена овощей и фруктов, шерсть (ко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шачья, собачья, овечья).</w:t>
      </w:r>
    </w:p>
    <w:p w14:paraId="0000001B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Бросовый материал: кожа, поролон,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лоскутки ткани, пробки, проволока,  формочки-вкладыши от шоколадных конфет, деревянные катушки.</w:t>
      </w:r>
      <w:proofErr w:type="gramEnd"/>
    </w:p>
    <w:p w14:paraId="0000001C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5. Технические материалы: гайки, винты, болты, гвозди.</w:t>
      </w:r>
    </w:p>
    <w:p w14:paraId="0000001D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  <w:t>Красители: ягодный сироп, акварельн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ые краски, другие виды безопасных красителей.</w:t>
      </w:r>
    </w:p>
    <w:p w14:paraId="0000001E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Медицинские материалы: пипетки, колбы, пробирки, шпатели, медицинская вата, мензурки, воронки, шприцы (без игл), марля, мерные ложки, резиновые груши разного объема.</w:t>
      </w:r>
      <w:proofErr w:type="gramEnd"/>
    </w:p>
    <w:p w14:paraId="0000001F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Прочие материалы: деревянные зубочистк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зеркала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воздушные шары, старые пластинки для проигрывателя, растительное масло, соль, сахар, мука, цветные и прозрачные стекла, формочки, поддоны, плоское блюдо, стеки, маникюрные принадлежности, ученические линейки, сито, металлические шарики (легкий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 тяжелый), таз, сетка-авоська, спички,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коробки из под спичек, нитки, пуговицы разного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диаметра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швейные иглы, булавки, коктейль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соломинки [4].</w:t>
      </w:r>
      <w:proofErr w:type="gramEnd"/>
    </w:p>
    <w:p w14:paraId="00000020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Для начала экспериментальную деятельность лучше строить с использованием материалов живой и не живой природы. Процесс наблюдения за реальными природными объектами и исследовательские манипуляции с ними приобщают ребенка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эксперементальному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опыту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 вызывае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т живой интерес и любопытство. Систематическое приобщение детей с ЗПР к занятиям с применением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эксперементальных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опытов мотивируют детей на более глубокое изучение предметов и явлений окружающего мира. Благодаря этому, в дальнейшем дети учатся сами ставить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цели и формулируют задачи исследования. Со временем, детям с задержкой психического развития удается выполнять многосоставные, сложные инструкции и поручения. Наблюдается стремление предвосхитить результат того или иного опыта, таким образом строя новые 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ипотезы и предположения.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Педагог в свою очередь постоянно поддерживает ситуацию вовлечени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я в ход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через комментарии к действиям детей.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Внедряются повторные наблюдения, которые формируют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картинк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наблюдаемого в ходе экспериментов более четко.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сперементальная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деятельность усваивается успешнее, ведь как было рассмотрено ранее, в ней учтены все закономерности элементарного усвоения опыта ребёнком. В результате такого рода деятельности, ребенок сможет сублимировать накопленный практический опыт в м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ысленный, и проводить параллели между предметами внешнего мира через обдумывание и осмысление,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простраивая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тем самым, будущий результат. Ребенок усваивает,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что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только работая сообща с педагогом и выполняя его инструкции, можно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придти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 результату. Таким об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разом, ребенок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становится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заинтересован, он учится концентрировать внимание ради результатов эксперимента, провоцируя развитие произвольности. Педагог выстраивает диалог с ребенком таким образом, чтобы последний был активным участником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исследоватнльской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ятельности и от его решений зависел бы ход работы. Таким образом, ребенок чувствует свою значимость в процессе, чувствует поддержку и ответственность. Это провоцирует дитя на увеличение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цененаправленности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действий, и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оречевлении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ведь на кону стоит успе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шность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эксперемента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Из этого видно, что именно интерес ребенка является пусковым крючком в успешности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всего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сложно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го исследовательского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механизма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00000021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эмпирические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методы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диагностики познавательных процессов: методики «Разрезные картинки» (С.Д.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брамная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«Десять слов» (А.Р.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Лурия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«Пиктограммы» (А.Р.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Лурия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«Четвертый лишний» (С.Я. Рубинштейн); «Последовательность событий» (А.Н. Бернштейн), «На что похоже» (Катаева); тест «Проставь значки»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Пьерон-Рузер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мы выявили основные показатели уровня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звития познавательных функци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детей старшего дошкольного возраста.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Разработав программу в количестве 20-ти занятий, и применяя её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обнаружили, что уровень подвижности познавательных процессов в целом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увелич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40 %. По окончании усвоен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программы у участников исследования наблюдается качественное произвольное внимание, в 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числе увеличение времени концентрации</w:t>
      </w:r>
      <w:r>
        <w:rPr>
          <w:rFonts w:ascii="Times New Roman" w:eastAsia="Times New Roman" w:hAnsi="Times New Roman" w:cs="Times New Roman"/>
          <w:sz w:val="24"/>
          <w:szCs w:val="24"/>
        </w:rPr>
        <w:t>; навыки построения гипотез; увеличение скорости усвоения простых инструкций, а так же многоуровневых инструкций.</w:t>
      </w:r>
    </w:p>
    <w:p w14:paraId="00000022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Таким 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м, можно сделать вывод, что внедрение экспериментировани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я в процесс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способствует увеличению познавательной активности у детей с задержкой психического развития, развивает детскую любознательность, и всесторонне расширяет кругозор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не только через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предметно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манипулятивную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среду, но и через построение предметно - смысловых связей.</w:t>
      </w:r>
    </w:p>
    <w:p w14:paraId="00000023" w14:textId="77777777" w:rsidR="00292522" w:rsidRDefault="00292522">
      <w:pPr>
        <w:pStyle w:val="1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0000024" w14:textId="77777777" w:rsidR="00292522" w:rsidRDefault="00B50A23">
      <w:pPr>
        <w:pStyle w:val="1"/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Литература</w:t>
      </w:r>
    </w:p>
    <w:p w14:paraId="00000025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1.Власова Т.А., Певзнер О детях с отклонениями в развитии.-2-е изд. – М.: Просвещение,1973.-175с.</w:t>
      </w:r>
    </w:p>
    <w:p w14:paraId="00000026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Куликовская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И.Э.,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Совгир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Н.Н. Детское экспериментирование. Старший дошкольный возраст. – М.: Педагогическое общество России, 2003.</w:t>
      </w:r>
    </w:p>
    <w:p w14:paraId="00000027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3.Организация коррекционно-развивающего обучения детей дошкольников с ЗПР: метод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ек. / З.В. Ломакина, Н.В. Хорошулина, 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Смоловская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Ярославль: изд. ЯГПУ, 2008. – 59с.</w:t>
      </w:r>
    </w:p>
    <w:p w14:paraId="00000028" w14:textId="77777777" w:rsidR="00292522" w:rsidRDefault="00B50A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Прохорова Л.Н. Организация экспериментирующей деятельности дошкольников.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2008.</w:t>
      </w:r>
    </w:p>
    <w:sectPr w:rsidR="00292522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92522"/>
    <w:rsid w:val="00292522"/>
    <w:rsid w:val="00B5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2048</Words>
  <Characters>11676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2024-11-14T06:17:00Z</dcterms:created>
  <dcterms:modified xsi:type="dcterms:W3CDTF">2024-11-14T06:18:00Z</dcterms:modified>
</cp:coreProperties>
</file>