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888C0" w14:textId="77777777" w:rsidR="00002A65" w:rsidRPr="00A363E6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jc w:val="center"/>
        <w:rPr>
          <w:rFonts w:ascii="Times New Roman" w:hAnsi="Times New Roman"/>
          <w:b/>
          <w:color w:val="auto"/>
          <w:sz w:val="22"/>
          <w:szCs w:val="28"/>
        </w:rPr>
      </w:pPr>
      <w:r w:rsidRPr="00A363E6">
        <w:rPr>
          <w:rFonts w:ascii="Times New Roman" w:hAnsi="Times New Roman"/>
          <w:b/>
          <w:color w:val="auto"/>
          <w:sz w:val="22"/>
          <w:szCs w:val="28"/>
        </w:rPr>
        <w:t>Федеральное государственное бюджетное образовательное учреждение высшего образования</w:t>
      </w:r>
    </w:p>
    <w:p w14:paraId="0B42EF51" w14:textId="77777777" w:rsidR="00002A65" w:rsidRPr="00A363E6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A363E6">
        <w:rPr>
          <w:rFonts w:ascii="Times New Roman" w:hAnsi="Times New Roman"/>
          <w:b/>
          <w:bCs/>
          <w:color w:val="auto"/>
          <w:sz w:val="28"/>
          <w:szCs w:val="28"/>
        </w:rPr>
        <w:t>«РОССИЙСКИЙ ГОСУДАРСТВЕННЫЙ УНИВЕРСИТЕТ ПРАВОСУДИЯ»</w:t>
      </w:r>
    </w:p>
    <w:p w14:paraId="21E3A76E" w14:textId="77777777" w:rsidR="00002A65" w:rsidRPr="00A363E6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 w:rsidRPr="00A363E6">
        <w:rPr>
          <w:rFonts w:ascii="Times New Roman" w:hAnsi="Times New Roman"/>
          <w:b/>
          <w:color w:val="auto"/>
          <w:sz w:val="28"/>
          <w:szCs w:val="28"/>
        </w:rPr>
        <w:t>Крымский филиал</w:t>
      </w:r>
    </w:p>
    <w:p w14:paraId="359AF8DC" w14:textId="77777777" w:rsidR="00002A65" w:rsidRPr="00A363E6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1549D7DB" w14:textId="77777777" w:rsidR="00002A65" w:rsidRPr="00A363E6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 w:rsidRPr="00A363E6">
        <w:rPr>
          <w:rFonts w:ascii="Times New Roman" w:hAnsi="Times New Roman"/>
          <w:color w:val="auto"/>
          <w:sz w:val="28"/>
          <w:szCs w:val="28"/>
        </w:rPr>
        <w:t xml:space="preserve">ФАКУЛЬТЕТ ПОДГОТОВКИ СПЕЦИАЛИСТОВ ДЛЯ СУДЕБНОЙ </w:t>
      </w:r>
    </w:p>
    <w:p w14:paraId="4CEAAE6C" w14:textId="77777777" w:rsidR="00002A65" w:rsidRPr="00A363E6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 w:rsidRPr="00A363E6">
        <w:rPr>
          <w:rFonts w:ascii="Times New Roman" w:hAnsi="Times New Roman"/>
          <w:color w:val="auto"/>
          <w:sz w:val="28"/>
          <w:szCs w:val="28"/>
        </w:rPr>
        <w:t>СИСТЕМЫ (ЮРИДИЧЕСКИЙ ФАКУЛЬТЕТ)</w:t>
      </w:r>
    </w:p>
    <w:p w14:paraId="6232321C" w14:textId="44F503F6" w:rsidR="00002A65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06A5CECF" w14:textId="21FB97E5" w:rsidR="00002A65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4BFEE49D" w14:textId="0C952C43" w:rsidR="00002A65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51CFB5EB" w14:textId="2882DF53" w:rsidR="00002A65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3FBE3CA8" w14:textId="2A405DFF" w:rsidR="00002A65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Научная статья на тему</w:t>
      </w:r>
    </w:p>
    <w:p w14:paraId="60A25A23" w14:textId="4F68E05C" w:rsidR="00002A65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05740404" w14:textId="4ECAB1B8" w:rsidR="00002A65" w:rsidRPr="00002A65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jc w:val="center"/>
        <w:rPr>
          <w:rFonts w:ascii="Times New Roman" w:hAnsi="Times New Roman"/>
          <w:b/>
          <w:bCs/>
          <w:color w:val="auto"/>
          <w:sz w:val="32"/>
          <w:szCs w:val="32"/>
        </w:rPr>
      </w:pPr>
    </w:p>
    <w:p w14:paraId="5110B663" w14:textId="0262CF84" w:rsidR="00002A65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jc w:val="center"/>
        <w:rPr>
          <w:rFonts w:ascii="Times New Roman" w:hAnsi="Times New Roman"/>
          <w:b/>
          <w:bCs/>
          <w:color w:val="auto"/>
          <w:sz w:val="32"/>
          <w:szCs w:val="32"/>
        </w:rPr>
      </w:pPr>
      <w:r w:rsidRPr="00002A65">
        <w:rPr>
          <w:rFonts w:ascii="Times New Roman" w:hAnsi="Times New Roman"/>
          <w:b/>
          <w:bCs/>
          <w:color w:val="auto"/>
          <w:sz w:val="32"/>
          <w:szCs w:val="32"/>
        </w:rPr>
        <w:t>Перспективы совершенствования механизмов защиты прав групп лиц</w:t>
      </w:r>
    </w:p>
    <w:p w14:paraId="23BFA032" w14:textId="09715C36" w:rsidR="00002A65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jc w:val="center"/>
        <w:rPr>
          <w:rFonts w:ascii="Times New Roman" w:hAnsi="Times New Roman"/>
          <w:b/>
          <w:bCs/>
          <w:color w:val="auto"/>
          <w:sz w:val="32"/>
          <w:szCs w:val="32"/>
        </w:rPr>
      </w:pPr>
    </w:p>
    <w:p w14:paraId="5CEB3704" w14:textId="46AA8585" w:rsidR="00002A65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jc w:val="center"/>
        <w:rPr>
          <w:rFonts w:ascii="Times New Roman" w:hAnsi="Times New Roman"/>
          <w:b/>
          <w:bCs/>
          <w:color w:val="auto"/>
          <w:sz w:val="32"/>
          <w:szCs w:val="32"/>
        </w:rPr>
      </w:pPr>
    </w:p>
    <w:p w14:paraId="16D11CD4" w14:textId="6F4BBEDD" w:rsidR="00002A65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jc w:val="center"/>
        <w:rPr>
          <w:rFonts w:ascii="Times New Roman" w:hAnsi="Times New Roman"/>
          <w:b/>
          <w:bCs/>
          <w:color w:val="auto"/>
          <w:sz w:val="32"/>
          <w:szCs w:val="32"/>
        </w:rPr>
      </w:pPr>
    </w:p>
    <w:p w14:paraId="47E619EC" w14:textId="617D5377" w:rsidR="00002A65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jc w:val="center"/>
        <w:rPr>
          <w:rFonts w:ascii="Times New Roman" w:hAnsi="Times New Roman"/>
          <w:b/>
          <w:bCs/>
          <w:color w:val="auto"/>
          <w:sz w:val="32"/>
          <w:szCs w:val="32"/>
        </w:rPr>
      </w:pPr>
    </w:p>
    <w:p w14:paraId="1FF7E92E" w14:textId="04B9413D" w:rsidR="00002A65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jc w:val="center"/>
        <w:rPr>
          <w:rFonts w:ascii="Times New Roman" w:hAnsi="Times New Roman"/>
          <w:b/>
          <w:bCs/>
          <w:color w:val="auto"/>
          <w:sz w:val="32"/>
          <w:szCs w:val="32"/>
        </w:rPr>
      </w:pPr>
    </w:p>
    <w:p w14:paraId="1C14E26C" w14:textId="038F1EE5" w:rsidR="00002A65" w:rsidRPr="00A363E6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Автор:</w:t>
      </w:r>
    </w:p>
    <w:p w14:paraId="683F173C" w14:textId="4F3ED519" w:rsidR="00002A65" w:rsidRPr="00A363E6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студент</w:t>
      </w:r>
      <w:r w:rsidRPr="00A363E6">
        <w:rPr>
          <w:rFonts w:ascii="Times New Roman" w:hAnsi="Times New Roman" w:cs="Times New Roman"/>
          <w:color w:val="auto"/>
          <w:sz w:val="28"/>
          <w:szCs w:val="28"/>
        </w:rPr>
        <w:t xml:space="preserve"> 3 курса</w:t>
      </w:r>
    </w:p>
    <w:p w14:paraId="576B3602" w14:textId="77777777" w:rsidR="00002A65" w:rsidRPr="00A363E6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A363E6">
        <w:rPr>
          <w:rFonts w:ascii="Times New Roman" w:hAnsi="Times New Roman" w:cs="Times New Roman"/>
          <w:color w:val="auto"/>
          <w:sz w:val="28"/>
          <w:szCs w:val="28"/>
        </w:rPr>
        <w:t>заочной формы обучения</w:t>
      </w:r>
    </w:p>
    <w:p w14:paraId="4703C311" w14:textId="77777777" w:rsidR="00002A65" w:rsidRPr="00A363E6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A363E6">
        <w:rPr>
          <w:rFonts w:ascii="Times New Roman" w:hAnsi="Times New Roman" w:cs="Times New Roman"/>
          <w:color w:val="auto"/>
          <w:sz w:val="28"/>
          <w:szCs w:val="28"/>
        </w:rPr>
        <w:t>по направлению подготовки</w:t>
      </w:r>
    </w:p>
    <w:p w14:paraId="765F42EE" w14:textId="77777777" w:rsidR="00002A65" w:rsidRPr="00A363E6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A363E6">
        <w:rPr>
          <w:rFonts w:ascii="Times New Roman" w:hAnsi="Times New Roman" w:cs="Times New Roman"/>
          <w:color w:val="auto"/>
          <w:sz w:val="28"/>
          <w:szCs w:val="28"/>
        </w:rPr>
        <w:t>40.04.01 юриспруденция</w:t>
      </w:r>
    </w:p>
    <w:p w14:paraId="3F97A9E9" w14:textId="4A382C3C" w:rsidR="00002A65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A363E6">
        <w:rPr>
          <w:rFonts w:ascii="Times New Roman" w:hAnsi="Times New Roman" w:cs="Times New Roman"/>
          <w:color w:val="auto"/>
          <w:sz w:val="28"/>
          <w:szCs w:val="28"/>
        </w:rPr>
        <w:t>Кямилев Неметулла Рустемович</w:t>
      </w:r>
    </w:p>
    <w:p w14:paraId="6805DECC" w14:textId="4441329E" w:rsidR="00002A65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14:paraId="143FB091" w14:textId="6A6563FE" w:rsidR="00002A65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14:paraId="4EBA05C0" w14:textId="517B87F7" w:rsidR="00002A65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14:paraId="0B1BFA2E" w14:textId="4B597C52" w:rsidR="00002A65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14:paraId="430325D0" w14:textId="6ACE7619" w:rsidR="00002A65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14:paraId="0D959F9C" w14:textId="4018E755" w:rsidR="00002A65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14:paraId="166F828C" w14:textId="4EEFE018" w:rsidR="00002A65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14:paraId="6374CB23" w14:textId="12A1F66D" w:rsidR="00002A65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14:paraId="6A777EF9" w14:textId="054F0C53" w:rsidR="00002A65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14:paraId="449874EA" w14:textId="27CA07A8" w:rsidR="00002A65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14:paraId="0C9478EC" w14:textId="36EFB4C0" w:rsidR="00002A65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14:paraId="24F5FA60" w14:textId="0B92F970" w:rsidR="00002A65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14:paraId="2077F8E2" w14:textId="3593BC9C" w:rsidR="00002A65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14:paraId="7FB78396" w14:textId="3E40064E" w:rsidR="00002A65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14:paraId="393EBF12" w14:textId="3734DC1F" w:rsidR="00002A65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14:paraId="01ED6F27" w14:textId="0CCDCF23" w:rsidR="00002A65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/>
        <w:ind w:left="4111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14:paraId="0C03A50E" w14:textId="77777777" w:rsidR="00002A65" w:rsidRPr="00A363E6" w:rsidRDefault="00002A65" w:rsidP="00002A6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A363E6">
        <w:rPr>
          <w:rFonts w:ascii="Times New Roman" w:hAnsi="Times New Roman"/>
          <w:color w:val="auto"/>
          <w:sz w:val="28"/>
          <w:szCs w:val="28"/>
        </w:rPr>
        <w:t xml:space="preserve">2024, г. </w:t>
      </w:r>
      <w:bookmarkStart w:id="0" w:name="_Toc72179457"/>
      <w:r w:rsidRPr="00A363E6">
        <w:rPr>
          <w:rFonts w:ascii="Times New Roman" w:hAnsi="Times New Roman"/>
          <w:color w:val="auto"/>
          <w:sz w:val="28"/>
          <w:szCs w:val="28"/>
        </w:rPr>
        <w:t>Симферопол</w:t>
      </w:r>
      <w:bookmarkEnd w:id="0"/>
      <w:r w:rsidRPr="00A363E6">
        <w:rPr>
          <w:rFonts w:ascii="Times New Roman" w:hAnsi="Times New Roman"/>
          <w:color w:val="auto"/>
          <w:sz w:val="28"/>
          <w:szCs w:val="28"/>
        </w:rPr>
        <w:t>ь</w:t>
      </w:r>
    </w:p>
    <w:p w14:paraId="6326D2A8" w14:textId="77777777" w:rsidR="00002A65" w:rsidRPr="00002A65" w:rsidRDefault="00002A65" w:rsidP="00002A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002A65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lastRenderedPageBreak/>
        <w:t>Перспективы совершенствования механизмов защиты прав групп лиц — это актуальная тема в области юриспруденции, социальной политики и прав человека. Вот несколько ключевых направлений, которые могут быть рассмотрены в этом контексте:</w:t>
      </w:r>
    </w:p>
    <w:p w14:paraId="636C6D1E" w14:textId="77777777" w:rsidR="00002A65" w:rsidRPr="00002A65" w:rsidRDefault="00002A65" w:rsidP="00002A6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002A65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Усиление законодательной базы</w:t>
      </w:r>
      <w:r w:rsidRPr="00002A65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: Необходимость разработки и внедрения новых законов и поправок, которые обеспечивают защиту прав групп лиц, таких как меньшинства, женщины, дети, пожилые люди и люди с ограниченными возможностями.</w:t>
      </w:r>
    </w:p>
    <w:p w14:paraId="51A2FBED" w14:textId="77777777" w:rsidR="00002A65" w:rsidRPr="00002A65" w:rsidRDefault="00002A65" w:rsidP="00002A6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002A65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Создание специализированных институтов</w:t>
      </w:r>
      <w:r w:rsidRPr="00002A65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: Формирование органов или агентств, которые будут заниматься защитой прав определенных групп, например, омбудсменов по правам человека или специализированных комиссий.</w:t>
      </w:r>
    </w:p>
    <w:p w14:paraId="74A79FBE" w14:textId="77777777" w:rsidR="00002A65" w:rsidRPr="00002A65" w:rsidRDefault="00002A65" w:rsidP="00002A6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002A65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Образование и просвещение</w:t>
      </w:r>
      <w:r w:rsidRPr="00002A65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: Важность повышения правовой грамотности среди населения, чтобы группы лиц знали свои права и могли эффективно их защищать. Это может включать программы обучения и информирования.</w:t>
      </w:r>
    </w:p>
    <w:p w14:paraId="5DA82466" w14:textId="77777777" w:rsidR="00002A65" w:rsidRPr="00002A65" w:rsidRDefault="00002A65" w:rsidP="00002A6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002A65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Улучшение механизмов обращения</w:t>
      </w:r>
      <w:r w:rsidRPr="00002A65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: Разработка доступных и эффективных механизмов для подачи жалоб и обращения за защитой прав, включая онлайн-платформы и горячие линии.</w:t>
      </w:r>
    </w:p>
    <w:p w14:paraId="168937F2" w14:textId="77777777" w:rsidR="00002A65" w:rsidRPr="00002A65" w:rsidRDefault="00002A65" w:rsidP="00002A6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002A65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Судебная практика</w:t>
      </w:r>
      <w:r w:rsidRPr="00002A65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: Укрепление судебной системы и повышение квалификации судей в вопросах защиты прав групп лиц. Это также может включать создание прецедентов, которые будут способствовать лучшему пониманию и применению норм права.</w:t>
      </w:r>
    </w:p>
    <w:p w14:paraId="2933FF0E" w14:textId="77777777" w:rsidR="00002A65" w:rsidRPr="00002A65" w:rsidRDefault="00002A65" w:rsidP="00002A6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002A65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Мониторинг и оценка</w:t>
      </w:r>
      <w:r w:rsidRPr="00002A65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: Проведение регулярного мониторинга и оценки существующих механизмов защиты прав групп лиц для выявления недостатков и разработки рекомендаций по их улучшению.</w:t>
      </w:r>
    </w:p>
    <w:p w14:paraId="4ACC8225" w14:textId="77777777" w:rsidR="00002A65" w:rsidRPr="00002A65" w:rsidRDefault="00002A65" w:rsidP="00002A6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002A65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Международное сотрудничество</w:t>
      </w:r>
      <w:r w:rsidRPr="00002A65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: Участие в международных соглашениях и сотрудничество с международными организациями для обмена опытом и лучшими практиками в области защиты прав групп лиц.</w:t>
      </w:r>
    </w:p>
    <w:p w14:paraId="22A998EA" w14:textId="77777777" w:rsidR="00002A65" w:rsidRPr="00002A65" w:rsidRDefault="00002A65" w:rsidP="00002A6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002A65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lastRenderedPageBreak/>
        <w:t>Инклюзивные подходы</w:t>
      </w:r>
      <w:r w:rsidRPr="00002A65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: Разработка и внедрение политики, направленной на инклюзию и участие групп лиц в принятии решений, касающихся их прав и интересов.</w:t>
      </w:r>
    </w:p>
    <w:p w14:paraId="6CAB7423" w14:textId="78A2B429" w:rsidR="00002A65" w:rsidRPr="00002A65" w:rsidRDefault="00002A65" w:rsidP="00002A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002A65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Эти направления могут стать основой для дальнейших исследований и разработки конкретных рекомендаций по совершенствованию механизмов защиты прав групп лиц.</w:t>
      </w:r>
    </w:p>
    <w:p w14:paraId="4790520B" w14:textId="09DC8A1F" w:rsidR="00002A65" w:rsidRPr="00002A65" w:rsidRDefault="00002A65" w:rsidP="00002A65">
      <w:pPr>
        <w:pStyle w:val="a7"/>
        <w:spacing w:before="0" w:beforeAutospacing="0" w:after="0" w:afterAutospacing="0" w:line="360" w:lineRule="auto"/>
        <w:ind w:firstLine="709"/>
        <w:jc w:val="both"/>
        <w:rPr>
          <w:color w:val="24292F"/>
          <w:sz w:val="28"/>
          <w:szCs w:val="28"/>
        </w:rPr>
      </w:pPr>
      <w:r w:rsidRPr="00002A65">
        <w:rPr>
          <w:color w:val="24292F"/>
          <w:sz w:val="28"/>
          <w:szCs w:val="28"/>
        </w:rPr>
        <w:t>Перспективы совершенствования механизмов защиты прав групп лиц представляют собой важное направление в области права и социальной политики. Важнейшим аспектом этой темы является необходимость усовершенствования законодательной базы, которая должна учитывать специфические потребности различных групп. Например, Федеральный закон от 24 ноября 1995 года № 181-ФЗ "О социальной защите инвалидов в Российской Федерации" служит основой для защиты прав людей с ограниченными возможностями, но требует дальнейшего развития и адаптации к современным реалиям.</w:t>
      </w:r>
    </w:p>
    <w:p w14:paraId="06A83C47" w14:textId="77777777" w:rsidR="00002A65" w:rsidRPr="00002A65" w:rsidRDefault="00002A65" w:rsidP="00002A65">
      <w:pPr>
        <w:pStyle w:val="a7"/>
        <w:spacing w:before="0" w:beforeAutospacing="0" w:after="0" w:afterAutospacing="0" w:line="360" w:lineRule="auto"/>
        <w:ind w:firstLine="709"/>
        <w:jc w:val="both"/>
        <w:rPr>
          <w:color w:val="24292F"/>
          <w:sz w:val="28"/>
          <w:szCs w:val="28"/>
        </w:rPr>
      </w:pPr>
      <w:r w:rsidRPr="00002A65">
        <w:rPr>
          <w:color w:val="24292F"/>
          <w:sz w:val="28"/>
          <w:szCs w:val="28"/>
        </w:rPr>
        <w:t>Создание специализированных институтов, таких как уполномоченные по правам человека, может значительно улучшить ситуацию. Эти органы могут действовать как посредники между государством и группами лиц, защищая их интересы и обеспечивая доступ к правосудию. Важным примером является работа Уполномоченного по правам человека в Российской Федерации, который осуществляет мониторинг соблюдения прав граждан и может выступать в защиту уязвимых групп.</w:t>
      </w:r>
    </w:p>
    <w:p w14:paraId="7F1D1FD2" w14:textId="77777777" w:rsidR="00002A65" w:rsidRPr="00002A65" w:rsidRDefault="00002A65" w:rsidP="00002A65">
      <w:pPr>
        <w:pStyle w:val="a7"/>
        <w:spacing w:before="0" w:beforeAutospacing="0" w:after="0" w:afterAutospacing="0" w:line="360" w:lineRule="auto"/>
        <w:ind w:firstLine="709"/>
        <w:jc w:val="both"/>
        <w:rPr>
          <w:color w:val="24292F"/>
          <w:sz w:val="28"/>
          <w:szCs w:val="28"/>
        </w:rPr>
      </w:pPr>
      <w:r w:rsidRPr="00002A65">
        <w:rPr>
          <w:color w:val="24292F"/>
          <w:sz w:val="28"/>
          <w:szCs w:val="28"/>
        </w:rPr>
        <w:t>Образование и просвещение населения о правах является ключевым элементом. Программы повышения правовой грамотности, направленные на различные группы, могут повысить уровень осведомленности о своих правах и возможностях их защиты. В этом контексте следует отметить Федеральный закон от 29 декабря 2012 года № 273-ФЗ "Об образовании в Российской Федерации", который подчеркивает важность правового образования.</w:t>
      </w:r>
    </w:p>
    <w:p w14:paraId="1B5AA5B1" w14:textId="77777777" w:rsidR="00002A65" w:rsidRPr="00002A65" w:rsidRDefault="00002A65" w:rsidP="00002A65">
      <w:pPr>
        <w:pStyle w:val="a7"/>
        <w:spacing w:before="0" w:beforeAutospacing="0" w:after="0" w:afterAutospacing="0" w:line="360" w:lineRule="auto"/>
        <w:ind w:firstLine="709"/>
        <w:jc w:val="both"/>
        <w:rPr>
          <w:color w:val="24292F"/>
          <w:sz w:val="28"/>
          <w:szCs w:val="28"/>
        </w:rPr>
      </w:pPr>
      <w:r w:rsidRPr="00002A65">
        <w:rPr>
          <w:color w:val="24292F"/>
          <w:sz w:val="28"/>
          <w:szCs w:val="28"/>
        </w:rPr>
        <w:t xml:space="preserve">Улучшение механизмов обращения за защитой прав также является важной задачей. Создание доступных платформ для подачи жалоб, включая </w:t>
      </w:r>
      <w:r w:rsidRPr="00002A65">
        <w:rPr>
          <w:color w:val="24292F"/>
          <w:sz w:val="28"/>
          <w:szCs w:val="28"/>
        </w:rPr>
        <w:lastRenderedPageBreak/>
        <w:t>онлайн-сервисы, может упростить процесс обращения за помощью. В этом контексте стоит упомянуть о действующих горячих линиях и центрах правовой помощи, которые обеспечивают поддержку граждан.</w:t>
      </w:r>
    </w:p>
    <w:p w14:paraId="7F932813" w14:textId="77777777" w:rsidR="00002A65" w:rsidRPr="00002A65" w:rsidRDefault="00002A65" w:rsidP="00002A65">
      <w:pPr>
        <w:pStyle w:val="a7"/>
        <w:spacing w:before="0" w:beforeAutospacing="0" w:after="0" w:afterAutospacing="0" w:line="360" w:lineRule="auto"/>
        <w:ind w:firstLine="709"/>
        <w:jc w:val="both"/>
        <w:rPr>
          <w:color w:val="24292F"/>
          <w:sz w:val="28"/>
          <w:szCs w:val="28"/>
        </w:rPr>
      </w:pPr>
      <w:r w:rsidRPr="00002A65">
        <w:rPr>
          <w:color w:val="24292F"/>
          <w:sz w:val="28"/>
          <w:szCs w:val="28"/>
        </w:rPr>
        <w:t>Судебная практика играет ключевую роль в защите прав групп лиц. Укрепление независимости судебной системы и повышение квалификации судей в вопросах прав человека могут способствовать более справедливому рассмотрению дел, касающихся уязвимых групп. В этом контексте необходимо учитывать практику Европейского суда по правам человека, которая служит важным ориентиром для национальных судов.</w:t>
      </w:r>
    </w:p>
    <w:p w14:paraId="4B756A9F" w14:textId="77777777" w:rsidR="00002A65" w:rsidRPr="00002A65" w:rsidRDefault="00002A65" w:rsidP="00002A65">
      <w:pPr>
        <w:pStyle w:val="a7"/>
        <w:spacing w:before="0" w:beforeAutospacing="0" w:after="0" w:afterAutospacing="0" w:line="360" w:lineRule="auto"/>
        <w:ind w:firstLine="709"/>
        <w:jc w:val="both"/>
        <w:rPr>
          <w:color w:val="24292F"/>
          <w:sz w:val="28"/>
          <w:szCs w:val="28"/>
        </w:rPr>
      </w:pPr>
      <w:r w:rsidRPr="00002A65">
        <w:rPr>
          <w:color w:val="24292F"/>
          <w:sz w:val="28"/>
          <w:szCs w:val="28"/>
        </w:rPr>
        <w:t>Мониторинг и оценка существующих механизмов защиты прав также важны для выявления недостатков и разработки рекомендаций. Регулярные отчеты и исследования, проводимые как государственными, так и независимыми организациями, могут способствовать улучшению ситуации.</w:t>
      </w:r>
    </w:p>
    <w:p w14:paraId="72882A34" w14:textId="77777777" w:rsidR="00002A65" w:rsidRPr="00002A65" w:rsidRDefault="00002A65" w:rsidP="00002A65">
      <w:pPr>
        <w:pStyle w:val="a7"/>
        <w:spacing w:before="0" w:beforeAutospacing="0" w:after="0" w:afterAutospacing="0" w:line="360" w:lineRule="auto"/>
        <w:ind w:firstLine="709"/>
        <w:jc w:val="both"/>
        <w:rPr>
          <w:color w:val="24292F"/>
          <w:sz w:val="28"/>
          <w:szCs w:val="28"/>
        </w:rPr>
      </w:pPr>
      <w:r w:rsidRPr="00002A65">
        <w:rPr>
          <w:color w:val="24292F"/>
          <w:sz w:val="28"/>
          <w:szCs w:val="28"/>
        </w:rPr>
        <w:t>Международное сотрудничество и участие в международных соглашениях, таких как Конвенция о правах человека и Конвенция о правах инвалидов, позволяют обмениваться опытом и лучшими практиками в области защиты прав групп лиц.</w:t>
      </w:r>
    </w:p>
    <w:p w14:paraId="6CC801ED" w14:textId="77777777" w:rsidR="00002A65" w:rsidRPr="00002A65" w:rsidRDefault="00002A65" w:rsidP="00002A65">
      <w:pPr>
        <w:pStyle w:val="a7"/>
        <w:spacing w:before="0" w:beforeAutospacing="0" w:after="0" w:afterAutospacing="0" w:line="360" w:lineRule="auto"/>
        <w:ind w:firstLine="709"/>
        <w:jc w:val="both"/>
        <w:rPr>
          <w:color w:val="24292F"/>
          <w:sz w:val="28"/>
          <w:szCs w:val="28"/>
        </w:rPr>
      </w:pPr>
      <w:r w:rsidRPr="00002A65">
        <w:rPr>
          <w:color w:val="24292F"/>
          <w:sz w:val="28"/>
          <w:szCs w:val="28"/>
        </w:rPr>
        <w:t>Инклюзивные подходы к принятию решений, касающихся прав и интересов групп лиц, также играют важную роль. Привлечение представителей уязвимых групп к процессу принятия решений может обеспечить более полное и справедливое отражение их потребностей и интересов.</w:t>
      </w:r>
    </w:p>
    <w:p w14:paraId="4FFED6CF" w14:textId="77777777" w:rsidR="00002A65" w:rsidRPr="00002A65" w:rsidRDefault="00002A65" w:rsidP="00002A65">
      <w:pPr>
        <w:pStyle w:val="a7"/>
        <w:spacing w:before="0" w:beforeAutospacing="0" w:after="0" w:afterAutospacing="0" w:line="360" w:lineRule="auto"/>
        <w:ind w:firstLine="709"/>
        <w:jc w:val="both"/>
        <w:rPr>
          <w:color w:val="24292F"/>
          <w:sz w:val="28"/>
          <w:szCs w:val="28"/>
        </w:rPr>
      </w:pPr>
      <w:r w:rsidRPr="00002A65">
        <w:rPr>
          <w:color w:val="24292F"/>
          <w:sz w:val="28"/>
          <w:szCs w:val="28"/>
        </w:rPr>
        <w:t>Таким образом, совершенствование механизмов защиты прав групп лиц требует комплексного подхода, который включает в себя законодательные инициативы, создание специализированных институтов, образовательные программы и активное участие граждан в процессе защиты своих прав.</w:t>
      </w:r>
    </w:p>
    <w:p w14:paraId="590688A4" w14:textId="77777777" w:rsidR="0084589D" w:rsidRDefault="0084589D"/>
    <w:sectPr w:rsidR="00845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EB8F0" w14:textId="77777777" w:rsidR="00AD11F5" w:rsidRDefault="00AD11F5" w:rsidP="00002A65">
      <w:pPr>
        <w:spacing w:after="0" w:line="240" w:lineRule="auto"/>
      </w:pPr>
      <w:r>
        <w:separator/>
      </w:r>
    </w:p>
  </w:endnote>
  <w:endnote w:type="continuationSeparator" w:id="0">
    <w:p w14:paraId="0A94B14D" w14:textId="77777777" w:rsidR="00AD11F5" w:rsidRDefault="00AD11F5" w:rsidP="00002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1710D" w14:textId="77777777" w:rsidR="00AD11F5" w:rsidRDefault="00AD11F5" w:rsidP="00002A65">
      <w:pPr>
        <w:spacing w:after="0" w:line="240" w:lineRule="auto"/>
      </w:pPr>
      <w:r>
        <w:separator/>
      </w:r>
    </w:p>
  </w:footnote>
  <w:footnote w:type="continuationSeparator" w:id="0">
    <w:p w14:paraId="5DD090F8" w14:textId="77777777" w:rsidR="00AD11F5" w:rsidRDefault="00AD11F5" w:rsidP="00002A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A6080A"/>
    <w:multiLevelType w:val="multilevel"/>
    <w:tmpl w:val="55D43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704"/>
    <w:rsid w:val="00002A65"/>
    <w:rsid w:val="001C5C88"/>
    <w:rsid w:val="0084589D"/>
    <w:rsid w:val="00AD11F5"/>
    <w:rsid w:val="00B43704"/>
    <w:rsid w:val="00E4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72FE4"/>
  <w15:chartTrackingRefBased/>
  <w15:docId w15:val="{EB3E9CAC-5312-4E24-9B68-B606A20D6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A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 умолчанию"/>
    <w:rsid w:val="00002A65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spacing w:before="160" w:after="0" w:line="240" w:lineRule="auto"/>
    </w:pPr>
    <w:rPr>
      <w:rFonts w:ascii="Helvetica Neue" w:eastAsia="Times New Roman" w:hAnsi="Helvetica Neue" w:cs="Arial Unicode MS"/>
      <w:color w:val="000000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unhideWhenUsed/>
    <w:rsid w:val="00002A6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002A6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02A65"/>
    <w:rPr>
      <w:vertAlign w:val="superscript"/>
    </w:rPr>
  </w:style>
  <w:style w:type="paragraph" w:styleId="a7">
    <w:name w:val="Normal (Web)"/>
    <w:basedOn w:val="a"/>
    <w:uiPriority w:val="99"/>
    <w:semiHidden/>
    <w:unhideWhenUsed/>
    <w:rsid w:val="0000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002A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831</Words>
  <Characters>4738</Characters>
  <Application>Microsoft Office Word</Application>
  <DocSecurity>0</DocSecurity>
  <Lines>39</Lines>
  <Paragraphs>11</Paragraphs>
  <ScaleCrop>false</ScaleCrop>
  <Company/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enot</dc:creator>
  <cp:keywords/>
  <dc:description/>
  <cp:lastModifiedBy>enot</cp:lastModifiedBy>
  <cp:revision>2</cp:revision>
  <dcterms:created xsi:type="dcterms:W3CDTF">2024-11-22T12:12:00Z</dcterms:created>
  <dcterms:modified xsi:type="dcterms:W3CDTF">2024-11-22T12:18:00Z</dcterms:modified>
</cp:coreProperties>
</file>