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FF076" w14:textId="5C1F33B5" w:rsidR="00924226" w:rsidRPr="005911EC" w:rsidRDefault="00924226" w:rsidP="0092422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1EC">
        <w:rPr>
          <w:rFonts w:ascii="Times New Roman" w:hAnsi="Times New Roman" w:cs="Times New Roman"/>
          <w:b/>
          <w:bCs/>
          <w:sz w:val="28"/>
          <w:szCs w:val="28"/>
        </w:rPr>
        <w:t>Использование государственных языков республик в деятельности государственных органов Российской Федерации: правовые коллизии и современные тенденции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BF19D1" w14:textId="2CC438D1" w:rsidR="0091255A" w:rsidRDefault="00924226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26">
        <w:rPr>
          <w:rFonts w:ascii="Times New Roman" w:hAnsi="Times New Roman" w:cs="Times New Roman"/>
          <w:sz w:val="28"/>
          <w:szCs w:val="28"/>
        </w:rPr>
        <w:t>Конституцион</w:t>
      </w:r>
      <w:r>
        <w:rPr>
          <w:rFonts w:ascii="Times New Roman" w:hAnsi="Times New Roman" w:cs="Times New Roman"/>
          <w:sz w:val="28"/>
          <w:szCs w:val="28"/>
        </w:rPr>
        <w:t>ная модель языкового регулирования в Российской Федерации сочетает в себе общефедеральный статус русского языка как единого на всей территории с правом республик устанавливать свои государственные языки. Однако, термин «государственный язык» применительно к республикам носит весьма условный характер</w:t>
      </w:r>
      <w:r w:rsidR="002D05FE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, так как республики фактически не являются суверенными государствами. Более точными были бы такие термины как «официальный» или «рабочий язык», что в полной мере бы отражало их функциональный статус и роль в рамках регионального администрирования.</w:t>
      </w:r>
    </w:p>
    <w:p w14:paraId="0556A037" w14:textId="199E0572" w:rsidR="00924226" w:rsidRDefault="00924226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статьи выступает исследование практики применения государственных языков республик в деятельности органов власти, учитывая существующие расхождения между законодательным закреплением и реализацией таких закрепленных норм. Актуальность темы обусловлена социально-политический значимостью языковой политики для многонационального государства, коим является Российская Федерация, а также заметными тенденциями к централизации и сужению языковых полномочий регионов.</w:t>
      </w:r>
    </w:p>
    <w:p w14:paraId="6664841B" w14:textId="728A5E87" w:rsidR="00924226" w:rsidRDefault="00924226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Правовая база включает Конституцию Российской Федерации, Закон «О языках народов Российской Федерации», который предоставил республикам широкие языковые права, и последующие законы, такие как, например, Закон «О государственном языке Российской Федерации», которые усилили роль русского языка и сузили возможности использования региональных языков.</w:t>
      </w:r>
    </w:p>
    <w:p w14:paraId="1876B35E" w14:textId="3E63810B" w:rsidR="00924226" w:rsidRDefault="0086770A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Социолингвистические данные формируют тревожную динамику во многих республиках, таких как, например, Бурятия, Коми, Удмуртия и другие, в которых, сокращается доля людей, владеющих языком титульной нации, даже при сохранении численности представителей самой этой титульной нации</w:t>
      </w:r>
      <w:r w:rsidR="004841DA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 Около 136 языков в России находятся под угрозой полного исчезновения, включая многие языки, которые имеют официальный статус</w:t>
      </w:r>
      <w:r w:rsidR="00160B79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AC65E" w14:textId="18FA2A3D" w:rsidR="0086770A" w:rsidRDefault="0086770A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практике, реализация языковых прав носит формальный характер. Например, лишь 9 из 21 республики имеют официальные сайты на государственном языке субъекта, причем полнота перевода от республики к республики варьируется. В сфере делопроизводства и судопроизводства использование региональных языков ограничивается судебной практикой, которая запрещает создание препятствий для доступа к правосудию и нарушение единства правового пространства.</w:t>
      </w:r>
    </w:p>
    <w:p w14:paraId="54262B7B" w14:textId="52A63E8A" w:rsidR="0086770A" w:rsidRDefault="0086770A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Ключевой сферой для сохранения </w:t>
      </w:r>
      <w:r w:rsidR="002D05FE">
        <w:rPr>
          <w:rFonts w:ascii="Times New Roman" w:hAnsi="Times New Roman" w:cs="Times New Roman"/>
          <w:sz w:val="28"/>
          <w:szCs w:val="28"/>
        </w:rPr>
        <w:t xml:space="preserve">языков является образование. Федеральное законодательство </w:t>
      </w:r>
      <w:r w:rsidR="002D05FE" w:rsidRPr="002D05FE">
        <w:rPr>
          <w:rFonts w:ascii="Times New Roman" w:hAnsi="Times New Roman" w:cs="Times New Roman"/>
          <w:sz w:val="28"/>
          <w:szCs w:val="28"/>
        </w:rPr>
        <w:t>существенно ограничивает возможности получения образования на языках республик, а изучение этих языков переведено на добровольную основу, что ведёт к снижению числа изучающих и ускорению языкового сдвига в пользу русского языка.</w:t>
      </w:r>
    </w:p>
    <w:p w14:paraId="55155FD7" w14:textId="6285D915" w:rsidR="002D05FE" w:rsidRDefault="002D05FE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5FE">
        <w:rPr>
          <w:rFonts w:ascii="Times New Roman" w:hAnsi="Times New Roman" w:cs="Times New Roman"/>
          <w:sz w:val="28"/>
          <w:szCs w:val="28"/>
        </w:rPr>
        <w:t>Наблюдается взаимосвязь между языковой и бюджетной политикой: рост финансовой зависимости регионов от центра сужает их возможности для самостоятельной языковой политики. Республики с большей бюджетной автономией (Татарстан, Башкортостан, Якутия) могли позволить себе более активную языковую политику, но и они сталкиваются с правовыми ограничениями.</w:t>
      </w:r>
    </w:p>
    <w:p w14:paraId="6291E597" w14:textId="430DFC44" w:rsidR="002D05FE" w:rsidRDefault="002D05FE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заключении можно выделить три положения. Во-первых, существует разрыв между юридическим закреплением статуса государственных языков республик и их реальным использованием, которое, часто сводится к лишь символическим функциям.</w:t>
      </w:r>
    </w:p>
    <w:p w14:paraId="58DE1CDE" w14:textId="06029487" w:rsidR="002D05FE" w:rsidRDefault="002D05FE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четко прослеживается тенденция к централизации языкового регулирования и сужению пространства для применения региональных языков через законодательные изменения, судебную практику и бюджетное давление.</w:t>
      </w:r>
    </w:p>
    <w:p w14:paraId="663F3845" w14:textId="197F998C" w:rsidR="002D05FE" w:rsidRDefault="002D05FE" w:rsidP="002D05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В-третьих, будущее языков республик зависит от сферы образования, где переход </w:t>
      </w:r>
      <w:r w:rsidRPr="002D05FE">
        <w:rPr>
          <w:rFonts w:ascii="Times New Roman" w:hAnsi="Times New Roman" w:cs="Times New Roman"/>
          <w:sz w:val="28"/>
          <w:szCs w:val="28"/>
        </w:rPr>
        <w:t>к добровольному изучению ускоряет языковой сдвиг. Поддержка только в бытовой и культурной сферах недостаточна для сохранения языков как полноценных коммуникативных систем.</w:t>
      </w:r>
    </w:p>
    <w:p w14:paraId="600ECE75" w14:textId="458BDA17" w:rsidR="002D05FE" w:rsidRPr="00924226" w:rsidRDefault="00160B79" w:rsidP="00160B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современная языковая политика в Российской Федерации в отношении государственных языков республик находится в состоянии противоречия. С одной стороны, декларируется поддержка языкового разнообразия и прав народов. С другой же, системные меры законодательного, судебного, финансового и т.д. характера, ведут к постепенной эрозии реального смысла статуса государственного языка, сводя его к чисто символической функции. Для преодоления этого противоречия, на мой взгляд, необходима, либо, последовательная политика по созданию реальной функциональной ниши для языков, либо, честный пересмотр их статусов в законодательстве в соответствии с реальным положением дел. Пока же наблюдается тревожная тенденция, при которой высокий юридический статус лишь маскирует процессы языковой ассимиляции, не предоставляя взамен эффективных инструментов для их остановки.</w:t>
      </w:r>
    </w:p>
    <w:sectPr w:rsidR="002D05FE" w:rsidRPr="00924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06CD0" w14:textId="77777777" w:rsidR="00DA5106" w:rsidRDefault="00DA5106" w:rsidP="002D05FE">
      <w:pPr>
        <w:spacing w:after="0" w:line="240" w:lineRule="auto"/>
      </w:pPr>
      <w:r>
        <w:separator/>
      </w:r>
    </w:p>
  </w:endnote>
  <w:endnote w:type="continuationSeparator" w:id="0">
    <w:p w14:paraId="3166FD21" w14:textId="77777777" w:rsidR="00DA5106" w:rsidRDefault="00DA5106" w:rsidP="002D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41555" w14:textId="77777777" w:rsidR="00DA5106" w:rsidRDefault="00DA5106" w:rsidP="002D05FE">
      <w:pPr>
        <w:spacing w:after="0" w:line="240" w:lineRule="auto"/>
      </w:pPr>
      <w:r>
        <w:separator/>
      </w:r>
    </w:p>
  </w:footnote>
  <w:footnote w:type="continuationSeparator" w:id="0">
    <w:p w14:paraId="0CB0202F" w14:textId="77777777" w:rsidR="00DA5106" w:rsidRDefault="00DA5106" w:rsidP="002D05FE">
      <w:pPr>
        <w:spacing w:after="0" w:line="240" w:lineRule="auto"/>
      </w:pPr>
      <w:r>
        <w:continuationSeparator/>
      </w:r>
    </w:p>
  </w:footnote>
  <w:footnote w:id="1">
    <w:p w14:paraId="7EC46797" w14:textId="4E06128C" w:rsidR="002D05FE" w:rsidRDefault="002D05FE" w:rsidP="002D05F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proofErr w:type="spellStart"/>
      <w:r w:rsidRPr="004A7DAE">
        <w:t>Шадже</w:t>
      </w:r>
      <w:proofErr w:type="spellEnd"/>
      <w:r w:rsidRPr="004A7DAE">
        <w:t xml:space="preserve"> Азамат </w:t>
      </w:r>
      <w:proofErr w:type="spellStart"/>
      <w:r w:rsidRPr="004A7DAE">
        <w:t>Мухамчериевич</w:t>
      </w:r>
      <w:proofErr w:type="spellEnd"/>
      <w:r w:rsidRPr="004A7DAE">
        <w:t xml:space="preserve">, </w:t>
      </w:r>
      <w:proofErr w:type="spellStart"/>
      <w:r w:rsidRPr="004A7DAE">
        <w:t>Маргиев</w:t>
      </w:r>
      <w:proofErr w:type="spellEnd"/>
      <w:r w:rsidRPr="004A7DAE">
        <w:t xml:space="preserve"> Алан Владимирович О праве республик в составе Российской Федерации устанавливать свои государственные языки // Вестник Адыгейского государственного университета. Серия: Регионоведение: философия, история, социология, юриспруденция, политология, культурология. 2011. №2. URL: https://cyberleninka.ru/article/n/o-prave-respublik-v-sostave-rossiyskoy-federatsii-ustanavlivat-svoi-gosudarstvennye-yazyki (дата обращения: 10.12.2025).</w:t>
      </w:r>
      <w:r>
        <w:t xml:space="preserve"> с. 8</w:t>
      </w:r>
    </w:p>
  </w:footnote>
  <w:footnote w:id="2">
    <w:p w14:paraId="4158151F" w14:textId="69B43ED6" w:rsidR="004841DA" w:rsidRDefault="004841DA">
      <w:pPr>
        <w:pStyle w:val="ac"/>
      </w:pPr>
      <w:r>
        <w:rPr>
          <w:rStyle w:val="ae"/>
        </w:rPr>
        <w:footnoteRef/>
      </w:r>
      <w:r>
        <w:t xml:space="preserve"> </w:t>
      </w:r>
      <w:proofErr w:type="spellStart"/>
      <w:r w:rsidRPr="0092537A">
        <w:t>Одинг</w:t>
      </w:r>
      <w:proofErr w:type="spellEnd"/>
      <w:r w:rsidRPr="0092537A">
        <w:t xml:space="preserve"> Н. Ю., Юшков А. О., </w:t>
      </w:r>
      <w:proofErr w:type="spellStart"/>
      <w:r w:rsidRPr="0092537A">
        <w:t>Савулькин</w:t>
      </w:r>
      <w:proofErr w:type="spellEnd"/>
      <w:r w:rsidRPr="0092537A">
        <w:t xml:space="preserve"> Л. И. Использование национальных языков как государственных в республиках РФ: правовые и экономические аспекты // Пространство экономики. 2019. №1. URL: https://cyberleninka.ru/article/n/ispolzovanie-natsionalnyh-yazykov-kak-gosudarstvennyh-v-respublikah-rf-pravovye-i-ekonomicheskie-aspekty (дата обращения: 10.12.2025).</w:t>
      </w:r>
      <w:r>
        <w:t xml:space="preserve"> с. 6</w:t>
      </w:r>
    </w:p>
  </w:footnote>
  <w:footnote w:id="3">
    <w:p w14:paraId="0A5A477C" w14:textId="2FE043ED" w:rsidR="00160B79" w:rsidRDefault="00160B79">
      <w:pPr>
        <w:pStyle w:val="ac"/>
      </w:pPr>
      <w:r>
        <w:rPr>
          <w:rStyle w:val="ae"/>
        </w:rPr>
        <w:footnoteRef/>
      </w:r>
      <w:r>
        <w:t xml:space="preserve"> </w:t>
      </w:r>
      <w:r w:rsidRPr="0036092B">
        <w:t>Этнолог: Языки мира (</w:t>
      </w:r>
      <w:proofErr w:type="spellStart"/>
      <w:r w:rsidRPr="0036092B">
        <w:t>Ethnologue</w:t>
      </w:r>
      <w:proofErr w:type="spellEnd"/>
      <w:r w:rsidRPr="0036092B">
        <w:t xml:space="preserve">: </w:t>
      </w:r>
      <w:proofErr w:type="spellStart"/>
      <w:r w:rsidRPr="0036092B">
        <w:t>Languages</w:t>
      </w:r>
      <w:proofErr w:type="spellEnd"/>
      <w:r w:rsidRPr="0036092B">
        <w:t xml:space="preserve"> </w:t>
      </w:r>
      <w:proofErr w:type="spellStart"/>
      <w:r w:rsidRPr="0036092B">
        <w:t>of</w:t>
      </w:r>
      <w:proofErr w:type="spellEnd"/>
      <w:r w:rsidRPr="0036092B">
        <w:t xml:space="preserve"> </w:t>
      </w:r>
      <w:proofErr w:type="spellStart"/>
      <w:r w:rsidRPr="0036092B">
        <w:t>the</w:t>
      </w:r>
      <w:proofErr w:type="spellEnd"/>
      <w:r w:rsidRPr="0036092B">
        <w:t xml:space="preserve"> World) и Атлас языков мира, находящихся под угрозой исчезновения ЮНЕСКО (UNESCO Atlas </w:t>
      </w:r>
      <w:proofErr w:type="spellStart"/>
      <w:r w:rsidRPr="0036092B">
        <w:t>of</w:t>
      </w:r>
      <w:proofErr w:type="spellEnd"/>
      <w:r w:rsidRPr="0036092B">
        <w:t xml:space="preserve"> </w:t>
      </w:r>
      <w:proofErr w:type="spellStart"/>
      <w:r w:rsidRPr="0036092B">
        <w:t>the</w:t>
      </w:r>
      <w:proofErr w:type="spellEnd"/>
      <w:r w:rsidRPr="0036092B">
        <w:t xml:space="preserve"> </w:t>
      </w:r>
      <w:proofErr w:type="spellStart"/>
      <w:r w:rsidRPr="0036092B">
        <w:t>World’s</w:t>
      </w:r>
      <w:proofErr w:type="spellEnd"/>
      <w:r w:rsidRPr="0036092B">
        <w:t xml:space="preserve"> </w:t>
      </w:r>
      <w:proofErr w:type="spellStart"/>
      <w:r w:rsidRPr="0036092B">
        <w:t>Languages</w:t>
      </w:r>
      <w:proofErr w:type="spellEnd"/>
      <w:r w:rsidRPr="0036092B">
        <w:t xml:space="preserve"> </w:t>
      </w:r>
      <w:proofErr w:type="spellStart"/>
      <w:r w:rsidRPr="0036092B">
        <w:t>in</w:t>
      </w:r>
      <w:proofErr w:type="spellEnd"/>
      <w:r w:rsidRPr="0036092B">
        <w:t xml:space="preserve"> </w:t>
      </w:r>
      <w:proofErr w:type="spellStart"/>
      <w:r w:rsidRPr="0036092B">
        <w:t>Danger</w:t>
      </w:r>
      <w:proofErr w:type="spellEnd"/>
      <w:r w:rsidRPr="0036092B">
        <w:t>)</w:t>
      </w:r>
      <w:r w:rsidRPr="0092537A">
        <w:t>. 201</w:t>
      </w:r>
      <w:r>
        <w:t>0</w:t>
      </w:r>
      <w:r w:rsidRPr="0092537A">
        <w:t xml:space="preserve">. URL: </w:t>
      </w:r>
      <w:r w:rsidRPr="0036092B">
        <w:t>https://unesdoc.unesco.org/ark:/48223/pf0000187026</w:t>
      </w:r>
      <w:r w:rsidRPr="0092537A">
        <w:t xml:space="preserve"> (дата обращения: 10.12.2025).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25D"/>
    <w:rsid w:val="00040358"/>
    <w:rsid w:val="00160B79"/>
    <w:rsid w:val="00200783"/>
    <w:rsid w:val="002D05FE"/>
    <w:rsid w:val="004841DA"/>
    <w:rsid w:val="004D725D"/>
    <w:rsid w:val="00685E92"/>
    <w:rsid w:val="007F76E5"/>
    <w:rsid w:val="0086770A"/>
    <w:rsid w:val="008F03E4"/>
    <w:rsid w:val="0091255A"/>
    <w:rsid w:val="00924226"/>
    <w:rsid w:val="00DA5106"/>
    <w:rsid w:val="00E52D2B"/>
    <w:rsid w:val="00F3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D1CC"/>
  <w15:chartTrackingRefBased/>
  <w15:docId w15:val="{F7CACCB0-2270-4DB1-B9F4-8F7B3082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226"/>
  </w:style>
  <w:style w:type="paragraph" w:styleId="1">
    <w:name w:val="heading 1"/>
    <w:basedOn w:val="a"/>
    <w:next w:val="a"/>
    <w:link w:val="10"/>
    <w:uiPriority w:val="9"/>
    <w:qFormat/>
    <w:rsid w:val="004D7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7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7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725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725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72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72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72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72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7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7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7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7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72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72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725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7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725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725D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2D05F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D05F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D0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0F2B0-59FA-4412-A55E-06A711D2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 Pumputis</dc:creator>
  <cp:keywords/>
  <dc:description/>
  <cp:lastModifiedBy>Vitaliy Pumputis</cp:lastModifiedBy>
  <cp:revision>4</cp:revision>
  <dcterms:created xsi:type="dcterms:W3CDTF">2025-12-24T08:29:00Z</dcterms:created>
  <dcterms:modified xsi:type="dcterms:W3CDTF">2025-12-29T06:44:00Z</dcterms:modified>
</cp:coreProperties>
</file>