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613D4CD0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b w:val="1"/>
          <w:sz w:val="28"/>
        </w:rPr>
      </w:pPr>
    </w:p>
    <w:p>
      <w:pPr>
        <w:jc w:val="center"/>
        <w:rPr>
          <w:b w:val="1"/>
          <w:sz w:val="28"/>
        </w:rPr>
      </w:pPr>
    </w:p>
    <w:p>
      <w:pPr>
        <w:jc w:val="center"/>
        <w:rPr>
          <w:b w:val="1"/>
          <w:sz w:val="28"/>
        </w:rPr>
      </w:pPr>
    </w:p>
    <w:p>
      <w:pPr>
        <w:spacing w:before="0" w:after="135" w:beforeAutospacing="0" w:afterAutospacing="0"/>
        <w:ind w:firstLine="0" w:left="0" w:right="0"/>
        <w:jc w:val="right"/>
        <w:rPr>
          <w:rStyle w:val="C22"/>
          <w:rFonts w:ascii="Arial" w:hAnsi="Arial"/>
          <w:b w:val="1"/>
          <w:i w:val="0"/>
          <w:color w:val="333333"/>
          <w:sz w:val="21"/>
          <w:shd w:val="clear" w:fill="FFFFFF"/>
        </w:rPr>
      </w:pPr>
      <w:bookmarkStart w:id="0" w:name="_dx_frag_StartFragment"/>
      <w:bookmarkEnd w:id="0"/>
      <w:r>
        <w:rPr>
          <w:rStyle w:val="C22"/>
          <w:rFonts w:ascii="Arial" w:hAnsi="Arial"/>
          <w:b w:val="1"/>
          <w:i w:val="1"/>
          <w:color w:val="333333"/>
          <w:sz w:val="21"/>
          <w:shd w:val="clear" w:fill="FFFFFF"/>
        </w:rPr>
        <w:t>Человек, обладающий врожденным талантом, испытывает величайшее счастье тогда, когда использует этот талант.</w:t>
      </w:r>
    </w:p>
    <w:p>
      <w:pPr>
        <w:jc w:val="center"/>
        <w:rPr>
          <w:rStyle w:val="C22"/>
          <w:rFonts w:ascii="Arial" w:hAnsi="Arial"/>
          <w:b w:val="1"/>
          <w:i w:val="0"/>
          <w:color w:val="333333"/>
          <w:sz w:val="21"/>
          <w:shd w:val="clear" w:fill="FFFFFF"/>
        </w:rPr>
      </w:pPr>
      <w:r>
        <w:rPr>
          <w:rStyle w:val="C22"/>
          <w:rFonts w:ascii="Arial" w:hAnsi="Arial"/>
          <w:b w:val="1"/>
          <w:i w:val="0"/>
          <w:color w:val="333333"/>
          <w:sz w:val="21"/>
          <w:shd w:val="clear" w:fill="FFFFFF"/>
        </w:rPr>
        <w:t>Иоганн Вольфганг Гете</w:t>
      </w:r>
    </w:p>
    <w:p>
      <w:pPr>
        <w:jc w:val="center"/>
        <w:rPr>
          <w:b w:val="1"/>
          <w:sz w:val="28"/>
        </w:rPr>
      </w:pPr>
    </w:p>
    <w:p>
      <w:pPr>
        <w:spacing w:before="0" w:after="135" w:beforeAutospacing="0" w:afterAutospacing="0"/>
        <w:ind w:firstLine="0" w:left="0" w:right="0"/>
        <w:jc w:val="both"/>
        <w:rPr>
          <w:rStyle w:val="C22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Олимпиады всегда были, есть и будут. У любого человека всегда есть потребность сравнить себя с другими. Для школьников это чуть ли не единственный способ посоревноваться в интеллектуальной сфере. Безусловно, для различных возрастов олимпиады имеют разное значение и разные цели.</w:t>
      </w:r>
    </w:p>
    <w:p>
      <w:pPr>
        <w:spacing w:before="0" w:after="135" w:beforeAutospacing="0" w:afterAutospacing="0"/>
        <w:ind w:firstLine="0" w:left="0" w:right="0"/>
        <w:jc w:val="both"/>
        <w:rPr>
          <w:rStyle w:val="C22"/>
          <w:rFonts w:ascii="Arial" w:hAnsi="Arial"/>
          <w:b w:val="0"/>
          <w:i w:val="1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1"/>
          <w:color w:val="333333"/>
          <w:sz w:val="24"/>
          <w:shd w:val="clear" w:fill="FFFFFF"/>
        </w:rPr>
        <w:t>Цели и задачи Олимпиады:</w:t>
      </w:r>
    </w:p>
    <w:p>
      <w:pPr>
        <w:numPr>
          <w:ilvl w:val="0"/>
          <w:numId w:val="1"/>
        </w:numPr>
        <w:spacing w:before="0" w:after="0" w:beforeAutospacing="0" w:afterAutospacing="0"/>
        <w:ind w:hanging="360" w:left="720" w:right="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подготовка учащихся 5-6 классов к участию в различных этапах Всероссийской олимпиады школьников по математике;</w:t>
      </w:r>
    </w:p>
    <w:p>
      <w:pPr>
        <w:numPr>
          <w:ilvl w:val="0"/>
          <w:numId w:val="1"/>
        </w:numPr>
        <w:spacing w:before="0" w:after="0" w:beforeAutospacing="0" w:afterAutospacing="0"/>
        <w:ind w:hanging="360" w:left="720" w:right="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выявление и развитие у обучающихся творческих способностей и интереса к научно-исследовательской деятельности;</w:t>
      </w:r>
    </w:p>
    <w:p>
      <w:pPr>
        <w:numPr>
          <w:ilvl w:val="0"/>
          <w:numId w:val="1"/>
        </w:numPr>
        <w:spacing w:before="0" w:after="0" w:beforeAutospacing="0" w:afterAutospacing="0"/>
        <w:ind w:hanging="360" w:left="720" w:right="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создание необходимых условий для поддержки одарённых детей, распространение и популяризация научных знаний среди молодежи;</w:t>
      </w:r>
    </w:p>
    <w:p>
      <w:pPr>
        <w:numPr>
          <w:ilvl w:val="0"/>
          <w:numId w:val="1"/>
        </w:numPr>
        <w:spacing w:before="0" w:after="0" w:beforeAutospacing="0" w:afterAutospacing="0"/>
        <w:ind w:hanging="360" w:left="720" w:right="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привлечение школьников к углубленному изучению математики;</w:t>
      </w:r>
    </w:p>
    <w:p>
      <w:pPr>
        <w:numPr>
          <w:ilvl w:val="0"/>
          <w:numId w:val="1"/>
        </w:numPr>
        <w:spacing w:before="0" w:after="0" w:beforeAutospacing="0" w:afterAutospacing="0"/>
        <w:ind w:hanging="360" w:left="720" w:right="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повышение умений и навыков учащихся по решению олимпиадных задач.</w:t>
      </w:r>
    </w:p>
    <w:p>
      <w:pPr>
        <w:numPr>
          <w:ilvl w:val="0"/>
          <w:numId w:val="2"/>
        </w:numPr>
        <w:spacing w:before="0" w:after="0" w:beforeAutospacing="0" w:afterAutospacing="0"/>
        <w:ind w:hanging="360" w:left="720" w:right="0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  <w:t>стимулирование интересов школьников к математике и занятию ею на более глубоком уровне.</w:t>
      </w:r>
    </w:p>
    <w:p>
      <w:pPr>
        <w:spacing w:before="0" w:after="135" w:beforeAutospacing="0" w:afterAutospacing="0"/>
        <w:ind w:firstLine="0" w:left="0" w:right="0"/>
        <w:jc w:val="both"/>
        <w:rPr>
          <w:rStyle w:val="C22"/>
          <w:rFonts w:ascii="Arial" w:hAnsi="Arial"/>
          <w:b w:val="0"/>
          <w:i w:val="0"/>
          <w:color w:val="333333"/>
          <w:sz w:val="24"/>
          <w:shd w:val="clear" w:fill="FFFFFF"/>
        </w:rPr>
      </w:pPr>
      <w:r>
        <w:rPr>
          <w:rStyle w:val="C22"/>
        </w:rPr>
        <w:br w:type="textWrapping"/>
      </w:r>
    </w:p>
    <w:p>
      <w:pPr>
        <w:jc w:val="center"/>
        <w:rPr>
          <w:b w:val="1"/>
          <w:sz w:val="28"/>
        </w:rPr>
      </w:pPr>
      <w:r>
        <w:rPr>
          <w:rStyle w:val="C22"/>
        </w:rPr>
        <w:br w:type="textWrapping"/>
      </w:r>
      <w:r>
        <w:rPr>
          <w:b w:val="1"/>
          <w:sz w:val="28"/>
        </w:rPr>
        <w:t>Олимпиадные задания для 5 классов</w:t>
      </w:r>
    </w:p>
    <w:p>
      <w:pPr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</w:p>
    <w:p>
      <w:pPr>
        <w:rPr>
          <w:sz w:val="28"/>
        </w:rPr>
      </w:pPr>
      <w:r>
        <w:rPr>
          <w:sz w:val="28"/>
        </w:rPr>
        <w:t>1.Алёнушка идет к реке за водой с тремя кувшинами (без мерных делений), объемы которых 7, 8 и 9 литров. Сможет ли Алёнушка не более чем за 10 переливаний получить в одном кувшине 4 литра воды, а в другом – 5? (Каждое из действий с кувшином – наполнение, опорожнение, переливание в другой кувшин, считается одним переливанием).</w:t>
      </w:r>
    </w:p>
    <w:p>
      <w:pPr>
        <w:rPr>
          <w:sz w:val="28"/>
        </w:rPr>
      </w:pPr>
    </w:p>
    <w:p>
      <w:r>
        <w:rPr>
          <w:sz w:val="28"/>
        </w:rPr>
        <w:t xml:space="preserve">2. Паша записал на доске пример на сложение, после чего заменил некоторые цифры буквами, причём одинаковые цифры – одинаковыми буквами, а различные цифры – различными буквами. У него получилось: </w:t>
      </w:r>
    </w:p>
    <w:p>
      <w:r>
        <w:rPr>
          <w:sz w:val="28"/>
        </w:rPr>
        <w:t>КЛАСС + 2022 = СТИЛЬ</w:t>
      </w:r>
    </w:p>
    <w:p>
      <w:r>
        <w:rPr>
          <w:sz w:val="28"/>
        </w:rPr>
        <w:t xml:space="preserve"> Докажите, что Паша ошибся.</w:t>
      </w:r>
    </w:p>
    <w:p/>
    <w:p>
      <w:pPr>
        <w:rPr>
          <w:sz w:val="28"/>
        </w:rPr>
      </w:pPr>
      <w:r>
        <w:rPr>
          <w:sz w:val="28"/>
        </w:rPr>
        <w:t>3. На клетчатой бумаге нарисовали большой прямоугольник, а затем разрезали его по клеточкам на несколько прямоугольников так, как показано на схеме (пропорции фигур искажены). При этом части A, B, C и D оказались квадратами. Известно, что сумма периметров этих квадратов равна 460, а квадраты B и C состоят всего из одной клетки. Найдите периметр большого прямоугольника.</w:t>
      </w:r>
    </w:p>
    <w:p>
      <w:pPr>
        <w:rPr>
          <w:sz w:val="28"/>
        </w:rPr>
      </w:pPr>
    </w:p>
    <w:p>
      <w:pPr>
        <w:rPr>
          <w:sz w:val="28"/>
        </w:rPr>
      </w:pPr>
      <w:r>
        <w:drawing>
          <wp:inline xmlns:wp="http://schemas.openxmlformats.org/drawingml/2006/wordprocessingDrawing">
            <wp:extent cx="2019300" cy="18288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8288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</w:p>
    <w:p>
      <w:r>
        <w:rPr>
          <w:sz w:val="28"/>
        </w:rPr>
        <w:t>4. У фокусника есть волшебная палочка, два неразличимых черных ящика и 210 конфет. По взмаху волшебной палочки количество предметов в обоих ящиках увеличивается: в одном – удваивается, а в другом – утраивается. Если сладкоежка Вася сможет разложить конфеты (не обязательно все) в ящики так, что после одного взмаха волшебной палочки всего конфет станет 333, то фокусник отдаст их Васе. Сможет ли Вася получить конфеты?</w:t>
      </w:r>
    </w:p>
    <w:p/>
    <w:p>
      <w:pPr>
        <w:rPr>
          <w:sz w:val="28"/>
        </w:rPr>
      </w:pPr>
      <w:r>
        <w:rPr>
          <w:sz w:val="28"/>
        </w:rPr>
        <w:t xml:space="preserve">5. В заколдованном доме 22 комнаты: 13 спален, 8 гостиных и 1 столовая (других помещений в доме нет). Перейти в одну комнату из другой можно только через дверь. Всего в доме установлено 29 межкомнатных дверей. При этом в каждой спальне ровно 1 дверь, а в каждой гостиной ровно 3 двери. Сколько дверей может быть в столовой? 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РЕШЕНИЕ</w:t>
      </w:r>
    </w:p>
    <w:p>
      <w:pPr>
        <w:jc w:val="left"/>
        <w:rPr>
          <w:b w:val="1"/>
          <w:color w:val="000000"/>
          <w:sz w:val="28"/>
        </w:rPr>
      </w:pPr>
      <w:r>
        <w:t>1.</w:t>
      </w:r>
    </w:p>
    <w:p>
      <w:pPr>
        <w:rPr>
          <w:sz w:val="28"/>
        </w:rPr>
      </w:pPr>
      <w:r>
        <w:rPr>
          <w:sz w:val="28"/>
        </w:rPr>
        <w:t xml:space="preserve">Ответ: Да, может. Например, таким образом: </w:t>
      </w:r>
    </w:p>
    <w:p>
      <w:pPr>
        <w:rPr>
          <w:sz w:val="28"/>
        </w:rPr>
      </w:pPr>
      <w:r>
        <w:drawing>
          <wp:inline xmlns:wp="http://schemas.openxmlformats.org/drawingml/2006/wordprocessingDrawing">
            <wp:extent cx="4562475" cy="111442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1144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r>
        <w:rPr>
          <w:sz w:val="28"/>
        </w:rPr>
        <w:t>Оценивание. Любой верный пример переливаний – 7 баллов (частичное совпадение действий с приведенным примером – 0 баллов)</w:t>
      </w:r>
    </w:p>
    <w:p>
      <w:r>
        <w:t xml:space="preserve">2. </w:t>
      </w:r>
      <w:r>
        <w:rPr>
          <w:sz w:val="28"/>
        </w:rPr>
        <w:t xml:space="preserve">Решение. Перепишем пример: </w:t>
      </w:r>
    </w:p>
    <w:p/>
    <w:p>
      <w:r>
        <w:t xml:space="preserve">                                             </w:t>
      </w:r>
      <w:r>
        <w:drawing>
          <wp:inline xmlns:wp="http://schemas.openxmlformats.org/drawingml/2006/wordprocessingDrawing">
            <wp:extent cx="809625" cy="60960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096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r>
        <w:rPr>
          <w:sz w:val="28"/>
        </w:rPr>
        <w:t xml:space="preserve">Заметим, что число, оканчивающееся на СС, при сложении с числом, оканчивающимся на 22, в сумме даёт число, у которого последние две цифры различны. Это возможно только если С=8 или С=9. </w:t>
      </w:r>
    </w:p>
    <w:p>
      <w:r>
        <w:rPr>
          <w:sz w:val="28"/>
        </w:rPr>
        <w:t>Пусть С=8. Тогда Ь=0 и Л=1. Число СТИЛЬ начинается с цифры 8, следовательно, К=7. Но в разряде тысяч складываются 1 и 2, поэтому там не может быть перехода через десяток. Если С=9, то Ь=1 и Л=2. Число СТИЛЬ начинается с цифры 9, следовательно, К= 8. Но в разряде тысяч складываются 2 и 2, поэтому там опять не может быть перехода через десяток.</w:t>
      </w:r>
    </w:p>
    <w:p>
      <w:r>
        <w:t>3.</w:t>
      </w:r>
    </w:p>
    <w:p>
      <w:r>
        <w:drawing>
          <wp:inline xmlns:wp="http://schemas.openxmlformats.org/drawingml/2006/wordprocessingDrawing">
            <wp:extent cx="5934075" cy="3876675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8766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/>
    <w:p>
      <w:r>
        <w:drawing>
          <wp:inline xmlns:wp="http://schemas.openxmlformats.org/drawingml/2006/wordprocessingDrawing">
            <wp:extent cx="5940425" cy="1165860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6586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r>
        <w:t>4.</w:t>
      </w:r>
    </w:p>
    <w:p>
      <w:pPr>
        <w:rPr>
          <w:sz w:val="28"/>
        </w:rPr>
      </w:pPr>
      <w:r>
        <w:drawing>
          <wp:inline xmlns:wp="http://schemas.openxmlformats.org/drawingml/2006/wordprocessingDrawing">
            <wp:extent cx="5940425" cy="1590675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906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Оценивание. Только ответ «да» – 0 баллов. Верный ответ и указано, сколько конфет и в какие ящики их нужно положить (при этом составление уравнения необязательно) – 7 баллов.</w:t>
      </w:r>
    </w:p>
    <w:p>
      <w:pPr>
        <w:rPr>
          <w:sz w:val="28"/>
        </w:rPr>
      </w:pPr>
      <w:r>
        <w:rPr>
          <w:sz w:val="28"/>
        </w:rPr>
        <w:t>5.</w:t>
      </w:r>
    </w:p>
    <w:p>
      <w:pPr>
        <w:rPr>
          <w:sz w:val="28"/>
        </w:rPr>
      </w:pPr>
      <w:r>
        <w:drawing>
          <wp:inline xmlns:wp="http://schemas.openxmlformats.org/drawingml/2006/wordprocessingDrawing">
            <wp:extent cx="5940425" cy="1724025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40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  <w:r>
        <w:drawing>
          <wp:inline xmlns:wp="http://schemas.openxmlformats.org/drawingml/2006/wordprocessingDrawing">
            <wp:extent cx="5934075" cy="3476625"/>
            <wp:docPr id="8" name="Pictu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xmlns:r="http://schemas.openxmlformats.org/officeDocument/2006/relationships" r:embed="Relimage8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4766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b w:val="1"/>
          <w:sz w:val="28"/>
        </w:rPr>
      </w:pPr>
      <w:r>
        <w:rPr>
          <w:b w:val="1"/>
          <w:sz w:val="28"/>
        </w:rPr>
        <w:t>Олимпиадные задания подобраны для проведения школьной олимпиады среди детей. дополнительно занимающихся во внеурочной деятельности математикой.</w:t>
      </w:r>
    </w:p>
    <w:sectPr>
      <w:type w:val="nextPage"/>
      <w:pgSz w:w="11906" w:h="16838" w:code="9"/>
      <w:pgMar w:left="1701" w:right="850" w:top="142" w:bottom="1134" w:header="708" w:footer="708" w:gutter="0"/>
      <w:pgNumType w:chapSep="period"/>
    </w:sectPr>
  </w:body>
</w:document>
</file>

<file path=word/numbering.xml><?xml version="1.0" encoding="utf-8"?>
<w:numbering xmlns:w="http://schemas.openxmlformats.org/wordprocessingml/2006/main">
  <w:abstractNum w:abstractNumId="0">
    <w:nsid w:val="768A1D0D"/>
    <w:multiLevelType w:val="hybridMultilevel"/>
    <w:lvl w:ilvl="0" w:tplc="4DC4E5EE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0F8C2898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0BF3657E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104E4FCD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1DAE856D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7E17BB50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79769E90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1D2D2959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43725D5F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abstractNum w:abstractNumId="1">
    <w:nsid w:val="601DC945"/>
    <w:multiLevelType w:val="hybridMultilevel"/>
    <w:lvl w:ilvl="0" w:tplc="685AECB1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6BD66CB9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1FBB679A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4A85ACAF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6B97F181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4935DD2D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9E0508C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2C84D169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78549FDD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XO Thames" w:hAnsi="XO Thames"/>
        <w:b w:val="0"/>
        <w:i w:val="0"/>
        <w:caps w:val="0"/>
        <w:strike w:val="0"/>
        <w:noProof w:val="0"/>
        <w:vanish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link w:val="C0"/>
    <w:qFormat/>
    <w:pPr>
      <w:spacing w:lineRule="auto" w:line="276" w:beforeAutospacing="0" w:afterAutospacing="0"/>
      <w:jc w:val="left"/>
    </w:pPr>
    <w:rPr/>
  </w:style>
  <w:style w:type="paragraph" w:styleId="P1">
    <w:name w:val="toc 2"/>
    <w:next w:val="P0"/>
    <w:link w:val="C3"/>
    <w:pPr>
      <w:ind w:firstLine="0" w:left="200"/>
    </w:pPr>
    <w:rPr/>
  </w:style>
  <w:style w:type="paragraph" w:styleId="P2">
    <w:name w:val="toc 4"/>
    <w:next w:val="P0"/>
    <w:link w:val="C4"/>
    <w:pPr>
      <w:ind w:firstLine="0" w:left="600"/>
    </w:pPr>
    <w:rPr/>
  </w:style>
  <w:style w:type="paragraph" w:styleId="P3">
    <w:name w:val="toc 6"/>
    <w:next w:val="P0"/>
    <w:link w:val="C5"/>
    <w:pPr>
      <w:ind w:firstLine="0" w:left="1000"/>
    </w:pPr>
    <w:rPr/>
  </w:style>
  <w:style w:type="paragraph" w:styleId="P4">
    <w:name w:val="toc 7"/>
    <w:next w:val="P0"/>
    <w:link w:val="C6"/>
    <w:pPr>
      <w:ind w:firstLine="0" w:left="1200"/>
    </w:pPr>
    <w:rPr/>
  </w:style>
  <w:style w:type="paragraph" w:styleId="P5">
    <w:name w:val="heading 3"/>
    <w:next w:val="P0"/>
    <w:link w:val="C7"/>
    <w:qFormat/>
    <w:pPr>
      <w:outlineLvl w:val="2"/>
    </w:pPr>
    <w:rPr>
      <w:rFonts w:ascii="XO Thames" w:hAnsi="XO Thames"/>
      <w:b w:val="1"/>
      <w:i w:val="1"/>
      <w:color w:val="000000"/>
    </w:rPr>
  </w:style>
  <w:style w:type="paragraph" w:styleId="P6">
    <w:name w:val="toc 3"/>
    <w:next w:val="P0"/>
    <w:link w:val="C8"/>
    <w:pPr>
      <w:ind w:firstLine="0" w:left="400"/>
    </w:pPr>
    <w:rPr/>
  </w:style>
  <w:style w:type="paragraph" w:styleId="P7">
    <w:name w:val="heading 5"/>
    <w:next w:val="P0"/>
    <w:link w:val="C9"/>
    <w:qFormat/>
    <w:pPr>
      <w:spacing w:before="120" w:after="120" w:beforeAutospacing="0" w:afterAutospacing="0"/>
      <w:outlineLvl w:val="4"/>
    </w:pPr>
    <w:rPr>
      <w:rFonts w:ascii="XO Thames" w:hAnsi="XO Thames"/>
      <w:b w:val="1"/>
      <w:color w:val="000000"/>
      <w:sz w:val="22"/>
    </w:rPr>
  </w:style>
  <w:style w:type="paragraph" w:styleId="P8">
    <w:name w:val="heading 1"/>
    <w:next w:val="P0"/>
    <w:link w:val="C10"/>
    <w:qFormat/>
    <w:pPr>
      <w:spacing w:before="120" w:after="120" w:beforeAutospacing="0" w:afterAutospacing="0"/>
      <w:outlineLvl w:val="0"/>
    </w:pPr>
    <w:rPr>
      <w:rFonts w:ascii="XO Thames" w:hAnsi="XO Thames"/>
      <w:b w:val="1"/>
      <w:sz w:val="32"/>
    </w:rPr>
  </w:style>
  <w:style w:type="paragraph" w:styleId="P9">
    <w:name w:val="Hyperlink"/>
    <w:link w:val="C2"/>
    <w:pPr/>
    <w:rPr>
      <w:color w:val="0000FF"/>
      <w:u w:val="single"/>
    </w:rPr>
  </w:style>
  <w:style w:type="paragraph" w:styleId="P10">
    <w:name w:val="Footnote"/>
    <w:link w:val="C11"/>
    <w:pPr>
      <w:jc w:val="left"/>
    </w:pPr>
    <w:rPr>
      <w:rFonts w:ascii="XO Thames" w:hAnsi="XO Thames"/>
      <w:sz w:val="22"/>
    </w:rPr>
  </w:style>
  <w:style w:type="paragraph" w:styleId="P11">
    <w:name w:val="toc 1"/>
    <w:next w:val="P0"/>
    <w:link w:val="C12"/>
    <w:pPr>
      <w:ind w:firstLine="0" w:left="0"/>
    </w:pPr>
    <w:rPr>
      <w:rFonts w:ascii="XO Thames" w:hAnsi="XO Thames"/>
      <w:b w:val="1"/>
    </w:rPr>
  </w:style>
  <w:style w:type="paragraph" w:styleId="P12">
    <w:name w:val="Header and Footer"/>
    <w:link w:val="C13"/>
    <w:pPr>
      <w:spacing w:lineRule="auto" w:line="360" w:beforeAutospacing="0" w:afterAutospacing="0"/>
    </w:pPr>
    <w:rPr>
      <w:rFonts w:ascii="XO Thames" w:hAnsi="XO Thames"/>
      <w:sz w:val="20"/>
    </w:rPr>
  </w:style>
  <w:style w:type="paragraph" w:styleId="P13">
    <w:name w:val="toc 9"/>
    <w:next w:val="P0"/>
    <w:link w:val="C14"/>
    <w:pPr>
      <w:ind w:firstLine="0" w:left="1600"/>
    </w:pPr>
    <w:rPr/>
  </w:style>
  <w:style w:type="paragraph" w:styleId="P14">
    <w:name w:val="toc 8"/>
    <w:next w:val="P0"/>
    <w:link w:val="C15"/>
    <w:pPr>
      <w:ind w:firstLine="0" w:left="1400"/>
    </w:pPr>
    <w:rPr/>
  </w:style>
  <w:style w:type="paragraph" w:styleId="P15">
    <w:name w:val="toc 5"/>
    <w:next w:val="P0"/>
    <w:link w:val="C16"/>
    <w:pPr>
      <w:ind w:firstLine="0" w:left="800"/>
    </w:pPr>
    <w:rPr/>
  </w:style>
  <w:style w:type="paragraph" w:styleId="P16">
    <w:name w:val="Subtitle"/>
    <w:next w:val="P0"/>
    <w:link w:val="C17"/>
    <w:qFormat/>
    <w:pPr/>
    <w:rPr>
      <w:rFonts w:ascii="XO Thames" w:hAnsi="XO Thames"/>
      <w:i w:val="1"/>
      <w:color w:val="616161"/>
      <w:sz w:val="24"/>
    </w:rPr>
  </w:style>
  <w:style w:type="paragraph" w:styleId="P17">
    <w:name w:val="toc 10"/>
    <w:next w:val="P0"/>
    <w:link w:val="C18"/>
    <w:pPr>
      <w:ind w:firstLine="0" w:left="1800"/>
    </w:pPr>
    <w:rPr/>
  </w:style>
  <w:style w:type="paragraph" w:styleId="P18">
    <w:name w:val="Title"/>
    <w:next w:val="P0"/>
    <w:link w:val="C19"/>
    <w:qFormat/>
    <w:pPr/>
    <w:rPr>
      <w:rFonts w:ascii="XO Thames" w:hAnsi="XO Thames"/>
      <w:b w:val="1"/>
      <w:sz w:val="52"/>
    </w:rPr>
  </w:style>
  <w:style w:type="paragraph" w:styleId="P19">
    <w:name w:val="heading 4"/>
    <w:next w:val="P0"/>
    <w:link w:val="C20"/>
    <w:qFormat/>
    <w:pPr>
      <w:spacing w:before="120" w:after="120" w:beforeAutospacing="0" w:afterAutospacing="0"/>
      <w:outlineLvl w:val="3"/>
    </w:pPr>
    <w:rPr>
      <w:rFonts w:ascii="XO Thames" w:hAnsi="XO Thames"/>
      <w:b w:val="1"/>
      <w:color w:val="595959"/>
      <w:sz w:val="26"/>
    </w:rPr>
  </w:style>
  <w:style w:type="paragraph" w:styleId="P20">
    <w:name w:val="heading 2"/>
    <w:next w:val="P0"/>
    <w:link w:val="C21"/>
    <w:qFormat/>
    <w:pPr>
      <w:spacing w:before="120" w:after="120" w:beforeAutospacing="0" w:afterAutospacing="0"/>
      <w:outlineLvl w:val="1"/>
    </w:pPr>
    <w:rPr>
      <w:rFonts w:ascii="XO Thames" w:hAnsi="XO Thames"/>
      <w:b w:val="1"/>
      <w:color w:val="00A0FF"/>
      <w:sz w:val="26"/>
    </w:rPr>
  </w:style>
  <w:style w:type="character" w:styleId="C0" w:default="1">
    <w:name w:val="Normal"/>
    <w:link w:val="P0"/>
    <w:rPr/>
  </w:style>
  <w:style w:type="character" w:styleId="C1">
    <w:name w:val="Line Number"/>
    <w:basedOn w:val="C0"/>
    <w:semiHidden/>
    <w:rPr/>
  </w:style>
  <w:style w:type="character" w:styleId="C2">
    <w:name w:val="Hyperlink"/>
    <w:link w:val="P9"/>
    <w:rPr>
      <w:color w:val="0000FF"/>
      <w:u w:val="single"/>
    </w:rPr>
  </w:style>
  <w:style w:type="character" w:styleId="C3">
    <w:name w:val="toc 2"/>
    <w:link w:val="P1"/>
    <w:rPr/>
  </w:style>
  <w:style w:type="character" w:styleId="C4">
    <w:name w:val="toc 4"/>
    <w:link w:val="P2"/>
    <w:rPr/>
  </w:style>
  <w:style w:type="character" w:styleId="C5">
    <w:name w:val="toc 6"/>
    <w:link w:val="P3"/>
    <w:rPr/>
  </w:style>
  <w:style w:type="character" w:styleId="C6">
    <w:name w:val="toc 7"/>
    <w:link w:val="P4"/>
    <w:rPr/>
  </w:style>
  <w:style w:type="character" w:styleId="C7">
    <w:name w:val="heading 3"/>
    <w:link w:val="P5"/>
    <w:rPr>
      <w:rFonts w:ascii="XO Thames" w:hAnsi="XO Thames"/>
      <w:b w:val="1"/>
      <w:i w:val="1"/>
      <w:color w:val="000000"/>
    </w:rPr>
  </w:style>
  <w:style w:type="character" w:styleId="C8">
    <w:name w:val="toc 3"/>
    <w:link w:val="P6"/>
    <w:rPr/>
  </w:style>
  <w:style w:type="character" w:styleId="C9">
    <w:name w:val="heading 5"/>
    <w:link w:val="P7"/>
    <w:rPr>
      <w:rFonts w:ascii="XO Thames" w:hAnsi="XO Thames"/>
      <w:b w:val="1"/>
      <w:color w:val="000000"/>
      <w:sz w:val="22"/>
    </w:rPr>
  </w:style>
  <w:style w:type="character" w:styleId="C10">
    <w:name w:val="heading 1"/>
    <w:link w:val="P8"/>
    <w:rPr>
      <w:rFonts w:ascii="XO Thames" w:hAnsi="XO Thames"/>
      <w:b w:val="1"/>
      <w:sz w:val="32"/>
    </w:rPr>
  </w:style>
  <w:style w:type="character" w:styleId="C11">
    <w:name w:val="Footnote"/>
    <w:link w:val="P10"/>
    <w:rPr>
      <w:rFonts w:ascii="XO Thames" w:hAnsi="XO Thames"/>
      <w:sz w:val="22"/>
    </w:rPr>
  </w:style>
  <w:style w:type="character" w:styleId="C12">
    <w:name w:val="toc 1"/>
    <w:link w:val="P11"/>
    <w:rPr>
      <w:rFonts w:ascii="XO Thames" w:hAnsi="XO Thames"/>
      <w:b w:val="1"/>
    </w:rPr>
  </w:style>
  <w:style w:type="character" w:styleId="C13">
    <w:name w:val="Header and Footer"/>
    <w:link w:val="P12"/>
    <w:rPr>
      <w:rFonts w:ascii="XO Thames" w:hAnsi="XO Thames"/>
      <w:sz w:val="20"/>
    </w:rPr>
  </w:style>
  <w:style w:type="character" w:styleId="C14">
    <w:name w:val="toc 9"/>
    <w:link w:val="P13"/>
    <w:rPr/>
  </w:style>
  <w:style w:type="character" w:styleId="C15">
    <w:name w:val="toc 8"/>
    <w:link w:val="P14"/>
    <w:rPr/>
  </w:style>
  <w:style w:type="character" w:styleId="C16">
    <w:name w:val="toc 5"/>
    <w:link w:val="P15"/>
    <w:rPr/>
  </w:style>
  <w:style w:type="character" w:styleId="C17">
    <w:name w:val="Subtitle"/>
    <w:link w:val="P16"/>
    <w:rPr>
      <w:rFonts w:ascii="XO Thames" w:hAnsi="XO Thames"/>
      <w:i w:val="1"/>
      <w:color w:val="616161"/>
      <w:sz w:val="24"/>
    </w:rPr>
  </w:style>
  <w:style w:type="character" w:styleId="C18">
    <w:name w:val="toc 10"/>
    <w:link w:val="P17"/>
    <w:rPr/>
  </w:style>
  <w:style w:type="character" w:styleId="C19">
    <w:name w:val="Title"/>
    <w:link w:val="P18"/>
    <w:rPr>
      <w:rFonts w:ascii="XO Thames" w:hAnsi="XO Thames"/>
      <w:b w:val="1"/>
      <w:sz w:val="52"/>
    </w:rPr>
  </w:style>
  <w:style w:type="character" w:styleId="C20">
    <w:name w:val="heading 4"/>
    <w:link w:val="P19"/>
    <w:rPr>
      <w:rFonts w:ascii="XO Thames" w:hAnsi="XO Thames"/>
      <w:b w:val="1"/>
      <w:color w:val="595959"/>
      <w:sz w:val="26"/>
    </w:rPr>
  </w:style>
  <w:style w:type="character" w:styleId="C21">
    <w:name w:val="heading 2"/>
    <w:link w:val="P20"/>
    <w:rPr>
      <w:rFonts w:ascii="XO Thames" w:hAnsi="XO Thames"/>
      <w:b w:val="1"/>
      <w:color w:val="00A0FF"/>
      <w:sz w:val="26"/>
    </w:rPr>
  </w:style>
  <w:style w:type="character" w:styleId="C22">
    <w:name w:val="Default Paragraph Font"/>
    <w:rPr>
      <w:rFonts w:ascii="Calibri" w:hAnsi="Calibri"/>
      <w:color w:val="auto"/>
      <w:sz w:val="22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6" Type="http://schemas.openxmlformats.org/officeDocument/2006/relationships/image" Target="/media/image6.png" /><Relationship Id="Relimage7" Type="http://schemas.openxmlformats.org/officeDocument/2006/relationships/image" Target="/media/image7.png" /><Relationship Id="Relimage3" Type="http://schemas.openxmlformats.org/officeDocument/2006/relationships/image" Target="/media/image3.png" /><Relationship Id="Relimage2" Type="http://schemas.openxmlformats.org/officeDocument/2006/relationships/image" Target="/media/image2.png" /><Relationship Id="Relimage4" Type="http://schemas.openxmlformats.org/officeDocument/2006/relationships/image" Target="/media/image4.png" /><Relationship Id="Relimage1" Type="http://schemas.openxmlformats.org/officeDocument/2006/relationships/image" Target="/media/image1.png" /><Relationship Id="Relimage8" Type="http://schemas.openxmlformats.org/officeDocument/2006/relationships/image" Target="/media/image8.png" /><Relationship Id="Relimage5" Type="http://schemas.openxmlformats.org/officeDocument/2006/relationships/image" Target="/media/image5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