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Герасева Елена Викторовна</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АНО ВО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Российский новый университет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Россия, Москва</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магистрант, юриспруденция</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E-mail: lena.geraseva86@mail.ru</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Несостоятельность (банкротство) физических лиц: особенности процедуры банкротства</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Geraseva Elena Viktorovna</w:t>
      </w:r>
    </w:p>
    <w:p>
      <w:pPr>
        <w:spacing w:before="0" w:after="0" w:line="240"/>
        <w:ind w:right="0" w:left="0" w:firstLine="0"/>
        <w:jc w:val="right"/>
        <w:rPr>
          <w:rFonts w:ascii="Times New Roman" w:hAnsi="Times New Roman" w:cs="Times New Roman" w:eastAsia="Times New Roman"/>
          <w:color w:val="000000"/>
          <w:spacing w:val="0"/>
          <w:position w:val="0"/>
          <w:sz w:val="28"/>
          <w:shd w:fill="FFFFFF" w:val="clear"/>
        </w:rPr>
      </w:pPr>
      <w:r>
        <w:rPr>
          <w:rFonts w:ascii="Times New Roman" w:hAnsi="Times New Roman" w:cs="Times New Roman" w:eastAsia="Times New Roman"/>
          <w:color w:val="000000"/>
          <w:spacing w:val="0"/>
          <w:position w:val="0"/>
          <w:sz w:val="28"/>
          <w:shd w:fill="FFFFFF" w:val="clear"/>
        </w:rPr>
        <w:t xml:space="preserve">Autonomous non-commercial organization of higher education</w:t>
      </w:r>
    </w:p>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FFFFFF" w:val="clear"/>
        </w:rPr>
        <w:t xml:space="preserve"> «Russian New University»</w:t>
      </w:r>
      <w:r>
        <w:rPr>
          <w:rFonts w:ascii="Times New Roman" w:hAnsi="Times New Roman" w:cs="Times New Roman" w:eastAsia="Times New Roman"/>
          <w:color w:val="000000"/>
          <w:spacing w:val="0"/>
          <w:position w:val="0"/>
          <w:sz w:val="28"/>
          <w:shd w:fill="auto" w:val="clear"/>
        </w:rPr>
        <w:t xml:space="preserve">, Russia, Moscow</w:t>
      </w:r>
    </w:p>
    <w:p>
      <w:pPr>
        <w:spacing w:before="0" w:after="0" w:line="240"/>
        <w:ind w:right="0" w:left="0" w:firstLine="0"/>
        <w:jc w:val="righ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master's student, jurisprudense</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b/>
          <w:caps w:val="true"/>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Problems of consumer protection in the sale of goods</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Аннотация:</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данной статье рассматриваются проблемные вопросы, которые связаны с особенностями банкротства физических лиц. При написании статьи были использованы основные законы для решения вопросов связанных с банкротством физических лиц. К данным законам относятся: Федеральный закон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несостоятельности (банкротстве)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 26.10.2002 </w:t>
      </w:r>
      <w:r>
        <w:rPr>
          <w:rFonts w:ascii="Segoe UI Symbol" w:hAnsi="Segoe UI Symbol" w:cs="Segoe UI Symbol" w:eastAsia="Segoe UI Symbol"/>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127-</w:t>
      </w:r>
      <w:r>
        <w:rPr>
          <w:rFonts w:ascii="Times New Roman" w:hAnsi="Times New Roman" w:cs="Times New Roman" w:eastAsia="Times New Roman"/>
          <w:color w:val="auto"/>
          <w:spacing w:val="0"/>
          <w:position w:val="0"/>
          <w:sz w:val="28"/>
          <w:shd w:fill="auto" w:val="clear"/>
        </w:rPr>
        <w:t xml:space="preserve">ФЗ, Гражданский Кодекс Российской Федерации, а также другие нормативно-правовые акты. В статье раскрываются основные проблемы, которые возникают у гражданина в результате признания его банкротом, а также предлагаются решения, которые помогут решить возникшие трудности в данной процедуре.</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Ключевые слова: </w:t>
      </w:r>
      <w:r>
        <w:rPr>
          <w:rFonts w:ascii="Times New Roman" w:hAnsi="Times New Roman" w:cs="Times New Roman" w:eastAsia="Times New Roman"/>
          <w:color w:val="auto"/>
          <w:spacing w:val="0"/>
          <w:position w:val="0"/>
          <w:sz w:val="28"/>
          <w:shd w:fill="auto" w:val="clear"/>
        </w:rPr>
        <w:t xml:space="preserve">несостоятельность, реализация имущества гражданина, реструктуризация долгов, банкротство физических лиц, кредиторы, Арбитражный управляющий, Арбитражный суд.</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Abstract:</w:t>
      </w:r>
      <w:r>
        <w:rPr>
          <w:rFonts w:ascii="Times New Roman" w:hAnsi="Times New Roman" w:cs="Times New Roman" w:eastAsia="Times New Roman"/>
          <w:color w:val="auto"/>
          <w:spacing w:val="0"/>
          <w:position w:val="0"/>
          <w:sz w:val="28"/>
          <w:shd w:fill="auto" w:val="clear"/>
        </w:rPr>
        <w:t xml:space="preserve"> This article discusses problematic issues related to the specifics of bankruptcy of individuals. When writing the article, the basic laws were used to resolve issues related to the bankruptcy of individuals. These laws include: Federal Law "On Insolvency (Bankruptcy)" dated October 26, 2002 No. 127-FZ, the Civil Code of the Russian Federation, as well as other regulatory legal acts. The article reveals the main problems that arise for a citizen as a result of declaring him bankrupt, and also suggests solutions that will help solve the difficulties encountered in this procedure.</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i/>
          <w:color w:val="auto"/>
          <w:spacing w:val="0"/>
          <w:position w:val="0"/>
          <w:sz w:val="28"/>
          <w:shd w:fill="auto" w:val="clear"/>
        </w:rPr>
        <w:t xml:space="preserve">Keywords: </w:t>
      </w:r>
      <w:r>
        <w:rPr>
          <w:rFonts w:ascii="Times New Roman" w:hAnsi="Times New Roman" w:cs="Times New Roman" w:eastAsia="Times New Roman"/>
          <w:color w:val="auto"/>
          <w:spacing w:val="0"/>
          <w:position w:val="0"/>
          <w:sz w:val="28"/>
          <w:shd w:fill="auto" w:val="clear"/>
        </w:rPr>
        <w:t xml:space="preserve">insolvency, sale of a citizen's property, debt restructuring, bankruptcy of individuals, creditors, Arbitration administrator, Arbitration court.</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Рассматривая с исторической точки зрения, стоит отметить что долгий промежуток времени процедуры банкротства регулировались лишь на уровне юридических лиц и индивидуальных предпринимателей. Причины принятия закона о банкротстве физических лиц стали экономические проблемы в стране, которые были связаны с нестабильностью и нехваткой ресурсов, которые были вызваны кризисом. Данные проблемы связаны с тем, что многие граждане не смогли выполнять свои обязательства и решать свои обязательства перед кредиторами.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Процедура банкротства является многоаспектной и сложной, по причине наличия ряда особенностей и проблем, которые значительно осложняют исполнения данной процедуры.</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Ключевой особенностью является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реабилитационный характер процедуры банкротства, своеобразное избавление граждан от тяжелого финансового положения, в котором они оказались в виду своей несостоятельности, а также, социальная и публично-правовая защита граждан в целом</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 данной позицией невозможно не согласиться, первые признаки того, что российскому законодательству необходимо разработать регулирование банкротства физических лиц появились ещё во время кризиса 2008-го года, когда многие граждане, являющиеся заёмщиками денежных средств в кредитных организациях, не смогли производить оплату и исполнять свои обязательства перед банками.</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Перед инициацией процедуры банкротства и перехода к этапу сбора и подачи документов в суд, прежде всего должнику необходимо определиться, соответствует ли он критериям для признания его банкротом, установленным в законодательстве. В целом,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мировая практика разделяет признаки неплатёжеспособности гражданина в зависимости от двух критериев: неоплатности и неплатёжеспособности</w:t>
      </w:r>
      <w:r>
        <w:rPr>
          <w:rFonts w:ascii="Times New Roman" w:hAnsi="Times New Roman" w:cs="Times New Roman" w:eastAsia="Times New Roman"/>
          <w:color w:val="auto"/>
          <w:spacing w:val="0"/>
          <w:position w:val="0"/>
          <w:sz w:val="28"/>
          <w:shd w:fill="auto" w:val="clear"/>
        </w:rPr>
        <w:t xml:space="preserve">» [2, </w:t>
      </w:r>
      <w:r>
        <w:rPr>
          <w:rFonts w:ascii="Times New Roman" w:hAnsi="Times New Roman" w:cs="Times New Roman" w:eastAsia="Times New Roman"/>
          <w:color w:val="auto"/>
          <w:spacing w:val="0"/>
          <w:position w:val="0"/>
          <w:sz w:val="28"/>
          <w:shd w:fill="auto" w:val="clear"/>
        </w:rPr>
        <w:t xml:space="preserve">С. 82].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Неоплатностью называется ситуация, при которой стоимость имущества должника является меньшей, чем стоимость его обязательств, когда средств должника недостаточно для удовлетворения требований кредиторов.</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соответствии с п. 3 ст. 213.6 Федерального закона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несостоятельности (банкротстве)</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под неплатежеспособностью гражданина понимается его неспособность удовлетворить в полном объеме требования кредиторов по денежным обязательствам и (или) исполнить обязанность по уплате обязательных платежей.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Вместе с этим, гражданин может быть признан недееспособным при наличии хотя бы одного основания, которое указано в данном пункте. Помимо этого, критерий неплатёжеспособности, как и критерий недостаточности имущества гражданина, указывается и в ст. 213.3 упомянутого закона, в которой говорится, что, заявление о признании гражданина банкротом принимается арбитражным судом при условии, что требования к гражданину составляют не менее чем пятьсот тысяч рублей и указанные требования не исполнены в течение трех месяцев с даты, когда они должны быть исполнены, соответственно, исходя из данной статьи мы можем сделать вывод о том, и для принятия судом заявления и для признания гражданина банкротам необходимо соблюсти два указанных правила: задолженность перед кредиторами не менее, чем 500 000 рублей, и неоплата данной задолженности в течение трёх месяцев и более.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Согласно ст. 33 Арбитражного процессуального кодекса Российской Федерации,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рассмотрение дел о банкротстве подведомственно Арбитражному суду. Вместе с тем, законом регулируется и круг лиц, которые могут обратиться в суд с заявлением о признании гражданина банкротом. Таким образом, подать заявление могут как сам гражданин, так и конкурсный кредитор, и уполномоченный орган</w:t>
      </w:r>
      <w:r>
        <w:rPr>
          <w:rFonts w:ascii="Times New Roman" w:hAnsi="Times New Roman" w:cs="Times New Roman" w:eastAsia="Times New Roman"/>
          <w:color w:val="auto"/>
          <w:spacing w:val="0"/>
          <w:position w:val="0"/>
          <w:sz w:val="28"/>
          <w:shd w:fill="auto" w:val="clear"/>
        </w:rPr>
        <w:t xml:space="preserve">» [1, </w:t>
      </w:r>
      <w:r>
        <w:rPr>
          <w:rFonts w:ascii="Times New Roman" w:hAnsi="Times New Roman" w:cs="Times New Roman" w:eastAsia="Times New Roman"/>
          <w:color w:val="auto"/>
          <w:spacing w:val="0"/>
          <w:position w:val="0"/>
          <w:sz w:val="28"/>
          <w:shd w:fill="auto" w:val="clear"/>
        </w:rPr>
        <w:t xml:space="preserve">С. 204].</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самому заявлению также прикрепляются и документы, перечень которых прописан в ст. 213.4. ФЗ </w:t>
      </w:r>
      <w:r>
        <w:rPr>
          <w:rFonts w:ascii="Segoe UI Symbol" w:hAnsi="Segoe UI Symbol" w:cs="Segoe UI Symbol" w:eastAsia="Segoe UI Symbol"/>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127, </w:t>
      </w:r>
      <w:r>
        <w:rPr>
          <w:rFonts w:ascii="Times New Roman" w:hAnsi="Times New Roman" w:cs="Times New Roman" w:eastAsia="Times New Roman"/>
          <w:color w:val="auto"/>
          <w:spacing w:val="0"/>
          <w:position w:val="0"/>
          <w:sz w:val="28"/>
          <w:shd w:fill="auto" w:val="clear"/>
        </w:rPr>
        <w:t xml:space="preserve">ознакомившись с ним, можно понять, что подача заявления представляется очень трудоёмкой процедурой, и уже на этапе подачи заявления могут возникнуть трудности, особенно у физического лица, не имеющего опыта ведения дел в суде или профильных знаний. Конечно, широкий перечень документов, подлежащих передаче в суд не делает процедуру банкротства более доступной или простой для проведения, тем не менее, стоит предположить, что целью подобный мер является более открытое и всесторонне рассмотрение дела о банкротстве, подобный перечень документов необходим также и для того, чтобы у кредиторов или суда не оставалось сомнений в том, что процедура банкротства не является фиктивной, и что должник в действительности использует её как крайнюю меру для того, чтобы реабилитироваться и выйти из трудного положения. Тем не менее, большинство потенциальных банкротов прибегают к помощи квалифицированных юристов, специализирующихся на ведении подобной категории дел, в противном случае лицу придётся столкнуться с изучением широкого списка нормативных актов и нести процессуальные риски.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Для соблюдения баланса прав и интересов всех участников процесса, п.6, ст. 213.5 установлено право должника направить отзыв в арбитражный суд на заявление уполномоченного органа о признании его банкротом, при этом, к такому отзыву прилагается опись имущества гражданина с указанием места нахождения или хранения имущества, сведения о полученных физическим лицом доходах за период, предшествующий дате подачи заявления о признании гражданина банкротом, выданная банком справка о наличии счетов, вкладов в банке и об остатках денежных средств на счетах.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Порядок подачи заявления в отношении индивидуального предпринимателя имеет некоторые отличи от описанного ранее, так, право на обращение в арбитражный суд с заявлением оп признании гражданина - индивидуального предпринимателя банкротом возникает у него при условии предварительно опубликованного уведомления о намерении обратиться в суд с заявлением о признании его банкротом, подобное условие устанавливается и при обращении в суд с подобным заявлением и конкурсного кредитора. Уведомление публикуется в Едином реестре сведений о фактах деятельности юридических лиц [3, С. 42].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Начало процедуры реструктуризации долгов гражданина возможно при соблюдении условий, указанных в ст. 213.13. закона. План реструктуризации долгов является важным документом, который предлагается кредиторам для рассмотрения, одобрения или отклонения на первом собрании кредиторов. Этот план должен содержать подробную информацию о финансовом состоянии должника, его имуществе, задолженности и других финансовых аспектах.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Решение о принятии или отклонении плана реструктуризации долгов принимается коллективно кредиторами на основе представленной информации. В случае одобрения, план утверждается арбитражным судом, что открывает путь к проведению процедуры реструктуризации имущества должника. Однако, если план не был одобрен на собрании кредиторов, есть возможность его доработки и повторного представления к рассмотрению.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Этот процесс позволяет сторонам найти компромиссное решение в рамках банкротством или реструктуризации долгов, что важно для обеспечения защиты интересов кредиторов и облегчения финансовой нагрузки на должника. Важно соблюдать установленные процедуры и правила, чтобы обеспечить справедливость и эффективность в урегулировании финансовых споров.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итогу рассмотрения, суд может либо утвердить соответствующий план и инициировать процедуру реализации имущества, отложить рассмотрение вопроса об утверждении плана реструктуризации долгов, а также об отказе в утверждении плана и инициализации процедуры реализации имущества должника. В случае, если план реструктуризации долгов гражданина не был представлен, или одобрен собранием кредиторов, то процедуру реструктуризации долгов заменяет процедура реализации имущества гражданина [4, С. 97].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 момента принятия арбитражным судом решения о признании индивидуального предпринимателя банкротом и о введении реализации имущества гражданина утрачивает силу государственная регистрация гражданина в качестве индивидуального предпринимателя, а также аннулируются выданные ему лицензии на осуществление отдельных видов предпринимательской деятельности, помимо того, индивидуальный предприниматель, признанный банкротом, не может быть зарегистрирован в качестве индивидуального предпринимателя в течение пяти лет с момента завершения процедуры реализации имущества гражданина или прекращения производства по делу о банкротстве в ходе такой процедуры. После завершения процедуры реализации имущества индивидуального предпринимателя, он в течение пяти лет не вправе осуществлять предпринимательскую деятельность, а также занимать должности в органах управления юридического лица, кредитной организации или каким-либо образом участвовать в её управлении в течении десяти лет.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Фермерское хозяйство имеет определенные особенности по сравнению с другими видами хозяйственной деятельности, и регулирование его деятельности регламентировано специальными нормативными актами. По законодательству, понятие банкротства фермерского хозяйства определяется в соответствии с особыми правилами, учитывающими специфику его дефолтного состояния. Факты, указанные в вашем сообщении, являются ключевыми основаниями для признания фермерского хозяйства банкротом.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частности, неспособность удовлетворить требования кредиторов по денежным обязательствам, выплата выходных пособий и оплата труда работникам, а также невыполнение обязанностей по уплате обязательных платежей могут стать основанием для банкротства фермерского хозяйства.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Вместе с этим, в отличие от физического лица без особенного статуса и индивидуального предпринимателя, для подачи заявления о признании банкротом необходимо письменное согласие всех участников хозяйства, и к самому заявлению, помимо стандартно требуемых документов, требуются документы, подтверждающие размер доходов, которые могут быть получены хозяйством по окончании соответствующего периода сельскохозяйственных работ. Также здесь присутствуют процедуры, которые не применяются по отношению к физическим лицам, а именно- финансовое оздоровление и внешнее управление. Финансовое оздоровление крестьянских (фермерских) хозяйств действительно отличается от процедуры реструктуризации долгов гражданина и имеет свои особенности, учтенные в законодательстве. Процедура финансового оздоровления направлена на восстановление платежеспособности хозяйства и погашение задолженности в соответствии с графиком погашения. Важно, что финансовое оздоровление может быть начато до окончания сельскохозяйственных работ, что учитывает специфику сельского хозяйства, где сбор урожая и продажа сельскохозяйственной продукции могут занять значительное время.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Также законодательство учитывает возможные чрезвычайные обстоятельства, такие как стихийные бедствия или эпизоотии, которые могут повлиять на финансовое состояние крестьянского (фермерского) хозяйства. В таких случаях срок финансового оздоровления может быть продлен на год. Кроме того, в процедуре финансового оздоровления также учитываются специфические условия и особенности деятельности крестьянских (фермерских) хозяйств, что делает эту процедуру адаптированной к особенностям сельского хозяйства. В случае, если на собрании кредиторов будет решено, что платёжеспособность хозяйства может быть восстановлена, то в таком случае инициации подлежит процедура внешнего управления, для которой назначается внешний управляющий.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настоящее время процедура банкротства физических лиц является популярной среди граждан, так как она даёт возможность решить проблемы с долговыми обязательствами и начать жизнь свободную от долгов. Однако, стоит заметить, что присутствуют также и недостатки в данной системе. Следовательно, на законодательном уровне следует внести ряд изменений, которые в итоге дадут возможность ускорить процесс признания гражданина банкротом. Внедрение данных мер, даст возможность сократить количество недобросовестных заёмщиков, а также обеспечит экономическую стабильность для каждой из сторон участников.</w:t>
      </w:r>
    </w:p>
    <w:p>
      <w:pPr>
        <w:spacing w:before="0" w:after="16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16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Библиографический список:</w:t>
      </w:r>
    </w:p>
    <w:p>
      <w:pPr>
        <w:spacing w:before="0" w:after="0" w:line="240"/>
        <w:ind w:right="0" w:left="0" w:firstLine="709"/>
        <w:jc w:val="center"/>
        <w:rPr>
          <w:rFonts w:ascii="Times New Roman" w:hAnsi="Times New Roman" w:cs="Times New Roman" w:eastAsia="Times New Roman"/>
          <w:color w:val="auto"/>
          <w:spacing w:val="0"/>
          <w:position w:val="0"/>
          <w:sz w:val="28"/>
          <w:shd w:fill="auto" w:val="clear"/>
        </w:rPr>
      </w:pPr>
    </w:p>
    <w:p>
      <w:pPr>
        <w:numPr>
          <w:ilvl w:val="0"/>
          <w:numId w:val="12"/>
        </w:numPr>
        <w:spacing w:before="0" w:after="0" w:line="240"/>
        <w:ind w:right="0" w:left="0" w:firstLine="426"/>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Абдуллаев К.А. Судебное банкротство гражданина: основания и порядок возбуждения производства по делу о признании гражданина банкротом // Наука и новации: современные проблемы права: монография / отв. ред. А.Н. Левушкин, Э.Х. Надысева. М.: Проспект, 2021. 573 с.</w:t>
      </w:r>
    </w:p>
    <w:p>
      <w:pPr>
        <w:numPr>
          <w:ilvl w:val="0"/>
          <w:numId w:val="12"/>
        </w:numPr>
        <w:spacing w:before="0" w:after="0" w:line="240"/>
        <w:ind w:right="0" w:left="0" w:firstLine="426"/>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Сиземова О.Б., Пчелкин А.В., Мамаков А.М. Сравнительный анализ законодательства о банкротстве физических лиц России и США // Журнал зарубежного законодательства и сравнительного правоведения. 2022. </w:t>
      </w:r>
      <w:r>
        <w:rPr>
          <w:rFonts w:ascii="Segoe UI Symbol" w:hAnsi="Segoe UI Symbol" w:cs="Segoe UI Symbol" w:eastAsia="Segoe UI Symbol"/>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5. </w:t>
      </w:r>
      <w:r>
        <w:rPr>
          <w:rFonts w:ascii="Times New Roman" w:hAnsi="Times New Roman" w:cs="Times New Roman" w:eastAsia="Times New Roman"/>
          <w:color w:val="auto"/>
          <w:spacing w:val="0"/>
          <w:position w:val="0"/>
          <w:sz w:val="28"/>
          <w:shd w:fill="auto" w:val="clear"/>
        </w:rPr>
        <w:t xml:space="preserve">С. 80 - 87.</w:t>
      </w:r>
    </w:p>
    <w:p>
      <w:pPr>
        <w:numPr>
          <w:ilvl w:val="0"/>
          <w:numId w:val="12"/>
        </w:numPr>
        <w:spacing w:before="0" w:after="0" w:line="240"/>
        <w:ind w:right="0" w:left="0" w:firstLine="426"/>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Харитонова Ю.С. Реализация имущества гражданина в ходе процедур банкротства // Гражданское право. - М.: Юрист, 2019, </w:t>
      </w:r>
      <w:r>
        <w:rPr>
          <w:rFonts w:ascii="Segoe UI Symbol" w:hAnsi="Segoe UI Symbol" w:cs="Segoe UI Symbol" w:eastAsia="Segoe UI Symbol"/>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3. - </w:t>
      </w:r>
      <w:r>
        <w:rPr>
          <w:rFonts w:ascii="Times New Roman" w:hAnsi="Times New Roman" w:cs="Times New Roman" w:eastAsia="Times New Roman"/>
          <w:color w:val="auto"/>
          <w:spacing w:val="0"/>
          <w:position w:val="0"/>
          <w:sz w:val="28"/>
          <w:shd w:fill="auto" w:val="clear"/>
        </w:rPr>
        <w:t xml:space="preserve">С. 41-43.</w:t>
      </w:r>
    </w:p>
    <w:p>
      <w:pPr>
        <w:numPr>
          <w:ilvl w:val="0"/>
          <w:numId w:val="12"/>
        </w:numPr>
        <w:spacing w:before="0" w:after="0" w:line="240"/>
        <w:ind w:right="0" w:left="0" w:firstLine="426"/>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Шишмарева Т.П. Институт несостоятельности в России и Германии.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 Статут, 2022.С.264.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А.Н. Семина.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2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е изд., перераб. и доп. - М.: Экзамен, 2022. - С.97 - 98.</w:t>
      </w:r>
    </w:p>
  </w:body>
</w:document>
</file>

<file path=word/numbering.xml><?xml version="1.0" encoding="utf-8"?>
<w:numbering xmlns:w="http://schemas.openxmlformats.org/wordprocessingml/2006/main">
  <w:abstractNum w:abstractNumId="0">
    <w:lvl w:ilvl="0">
      <w:start w:val="1"/>
      <w:numFmt w:val="bullet"/>
      <w:lvlText w:val="•"/>
    </w:lvl>
  </w:abstractNum>
  <w:num w:numId="12">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