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7A" w:rsidRPr="00DA52B1" w:rsidRDefault="00D80A7A" w:rsidP="007B3D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52B1">
        <w:rPr>
          <w:rFonts w:ascii="Times New Roman" w:eastAsia="Calibri" w:hAnsi="Times New Roman" w:cs="Times New Roman"/>
          <w:b/>
          <w:bCs/>
          <w:sz w:val="24"/>
          <w:szCs w:val="24"/>
        </w:rPr>
        <w:t>Тезисы для статьи: «Учебная мотивация студентов ВУЗа: сравнительный анализ бакалавров и магистрантов.</w:t>
      </w:r>
    </w:p>
    <w:p w:rsidR="00892D10" w:rsidRPr="007B3D22" w:rsidRDefault="00892D10" w:rsidP="007B3D2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3D22">
        <w:rPr>
          <w:rFonts w:ascii="Times New Roman" w:eastAsia="Calibri" w:hAnsi="Times New Roman" w:cs="Times New Roman"/>
          <w:bCs/>
          <w:sz w:val="24"/>
          <w:szCs w:val="24"/>
        </w:rPr>
        <w:t xml:space="preserve">Мотивация играет ключевую роль в достижении высоких академических результатов; понимание мотивирующих и </w:t>
      </w:r>
      <w:proofErr w:type="spellStart"/>
      <w:r w:rsidRPr="007B3D22">
        <w:rPr>
          <w:rFonts w:ascii="Times New Roman" w:eastAsia="Calibri" w:hAnsi="Times New Roman" w:cs="Times New Roman"/>
          <w:bCs/>
          <w:sz w:val="24"/>
          <w:szCs w:val="24"/>
        </w:rPr>
        <w:t>демотивирующих</w:t>
      </w:r>
      <w:proofErr w:type="spellEnd"/>
      <w:r w:rsidRPr="007B3D22">
        <w:rPr>
          <w:rFonts w:ascii="Times New Roman" w:eastAsia="Calibri" w:hAnsi="Times New Roman" w:cs="Times New Roman"/>
          <w:bCs/>
          <w:sz w:val="24"/>
          <w:szCs w:val="24"/>
        </w:rPr>
        <w:t xml:space="preserve"> факторов может способствовать повышению академической успеваемости. В контексте профессионального становления знание о мотивационных драйверах студентов помогает в разработке учебных программ, способствующих более эффективной подготовке к требованиям современного рынка труда. Организационное разнообразие обуславливает необходимость детального исследования особенностей мотивации в частности у бакалавров и магистров.</w:t>
      </w:r>
    </w:p>
    <w:p w:rsidR="00C97914" w:rsidRPr="007B3D22" w:rsidRDefault="00D80A7A" w:rsidP="007B3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3D22">
        <w:rPr>
          <w:rFonts w:ascii="Times New Roman" w:eastAsia="Calibri" w:hAnsi="Times New Roman" w:cs="Times New Roman"/>
          <w:bCs/>
          <w:sz w:val="24"/>
          <w:szCs w:val="24"/>
        </w:rPr>
        <w:t>В связи с этим на базе факультета психологии было проведено исследование.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 xml:space="preserve">В исследовании приняли участие студенты ИГУ факультета психологии очного и </w:t>
      </w:r>
      <w:proofErr w:type="spellStart"/>
      <w:r w:rsidRPr="007B3D22">
        <w:rPr>
          <w:rFonts w:ascii="Times New Roman" w:hAnsi="Times New Roman" w:cs="Times New Roman"/>
          <w:sz w:val="24"/>
          <w:szCs w:val="24"/>
        </w:rPr>
        <w:t>очно-заочного</w:t>
      </w:r>
      <w:proofErr w:type="spellEnd"/>
      <w:r w:rsidRPr="007B3D22">
        <w:rPr>
          <w:rFonts w:ascii="Times New Roman" w:hAnsi="Times New Roman" w:cs="Times New Roman"/>
          <w:sz w:val="24"/>
          <w:szCs w:val="24"/>
        </w:rPr>
        <w:t xml:space="preserve"> форм обучения в количестве 34 человек. 17 человек</w:t>
      </w:r>
      <w:r w:rsidRPr="007B3D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B3D22">
        <w:rPr>
          <w:rFonts w:ascii="Times New Roman" w:hAnsi="Times New Roman" w:cs="Times New Roman"/>
          <w:color w:val="000000" w:themeColor="text1"/>
          <w:sz w:val="24"/>
          <w:szCs w:val="24"/>
        </w:rPr>
        <w:t>– бакалавров и 17 человек магистрантов.</w:t>
      </w:r>
    </w:p>
    <w:p w:rsidR="00D80A7A" w:rsidRPr="007B3D22" w:rsidRDefault="00D80A7A" w:rsidP="007B3D22">
      <w:pPr>
        <w:tabs>
          <w:tab w:val="left" w:pos="23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sz w:val="24"/>
          <w:szCs w:val="24"/>
        </w:rPr>
        <w:t>Цели исследования: изучить особенности учебной мотивации студентов – бакалавров и магистрантов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 xml:space="preserve">Для решения поставленных задач и проверки исходных предположений применялся комплекс методов и методик исследования таких как: 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 xml:space="preserve">1.Теоретические методы: качественный и количественный анализ, сравнение, систематизация, обобщение полученной научной информации. 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>2. Эмпирические методы исследования: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 xml:space="preserve">- психодиагностические методы: </w:t>
      </w:r>
      <w:r w:rsidRPr="007B3D22">
        <w:rPr>
          <w:rFonts w:ascii="Times New Roman" w:eastAsia="Times New Roman" w:hAnsi="Times New Roman" w:cs="Times New Roman"/>
          <w:sz w:val="24"/>
          <w:szCs w:val="24"/>
        </w:rPr>
        <w:t>Методика для диагностики учебной мотивации студентов (</w:t>
      </w:r>
      <w:proofErr w:type="spellStart"/>
      <w:r w:rsidRPr="007B3D22">
        <w:rPr>
          <w:rFonts w:ascii="Times New Roman" w:eastAsia="Times New Roman" w:hAnsi="Times New Roman" w:cs="Times New Roman"/>
          <w:sz w:val="24"/>
          <w:szCs w:val="24"/>
        </w:rPr>
        <w:t>А.А.Реан</w:t>
      </w:r>
      <w:proofErr w:type="spellEnd"/>
      <w:r w:rsidRPr="007B3D22">
        <w:rPr>
          <w:rFonts w:ascii="Times New Roman" w:eastAsia="Times New Roman" w:hAnsi="Times New Roman" w:cs="Times New Roman"/>
          <w:sz w:val="24"/>
          <w:szCs w:val="24"/>
        </w:rPr>
        <w:t xml:space="preserve"> и В.А.Якунин, модификация Н.Ц.Бадмаевой); методика Т.И. Ильиной «Изучение мотивации обучения студентов».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>Учебная мотивация — это процесс, который инициирует, направляет и поддерживает усилия по выполнению учебных задач. Она представляет собой сложную, многосоставную систему, состоящую из мотивов, целей, реакции на неудачи, настойчивости и установок студентов.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Почему мы предположили, что мотивация студентов магистратуры будет отличаться: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Бакалавры</w:t>
      </w:r>
      <w:r w:rsidRPr="007B3D22">
        <w:rPr>
          <w:rFonts w:ascii="Times New Roman" w:hAnsi="Times New Roman" w:cs="Times New Roman"/>
          <w:sz w:val="24"/>
          <w:szCs w:val="24"/>
        </w:rPr>
        <w:t> часто находятся на этапе, когда они всё ещё исследуют свои профессиональные интересы и направления. Их мотивация может быть связана с получением базовых знаний и пониманием своих будущих карьерных путей.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Магистранты</w:t>
      </w:r>
      <w:r w:rsidRPr="007B3D22">
        <w:rPr>
          <w:rFonts w:ascii="Times New Roman" w:hAnsi="Times New Roman" w:cs="Times New Roman"/>
          <w:sz w:val="24"/>
          <w:szCs w:val="24"/>
        </w:rPr>
        <w:t xml:space="preserve">, как правило, уже определились с профессиональным </w:t>
      </w:r>
      <w:proofErr w:type="gramStart"/>
      <w:r w:rsidRPr="007B3D22">
        <w:rPr>
          <w:rFonts w:ascii="Times New Roman" w:hAnsi="Times New Roman" w:cs="Times New Roman"/>
          <w:sz w:val="24"/>
          <w:szCs w:val="24"/>
        </w:rPr>
        <w:t>направлением</w:t>
      </w:r>
      <w:proofErr w:type="gramEnd"/>
      <w:r w:rsidRPr="007B3D22">
        <w:rPr>
          <w:rFonts w:ascii="Times New Roman" w:hAnsi="Times New Roman" w:cs="Times New Roman"/>
          <w:sz w:val="24"/>
          <w:szCs w:val="24"/>
        </w:rPr>
        <w:t xml:space="preserve"> и пришли в магистратуру с целью углубления знаний в конкретной области. Их мотивация может быть более целенаправленной и связанной с карьерными планами или научными интересами.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Бакалавры</w:t>
      </w:r>
      <w:r w:rsidRPr="007B3D22">
        <w:rPr>
          <w:rFonts w:ascii="Times New Roman" w:hAnsi="Times New Roman" w:cs="Times New Roman"/>
          <w:sz w:val="24"/>
          <w:szCs w:val="24"/>
        </w:rPr>
        <w:t xml:space="preserve"> обычно моложе и могут проявлять интерес к более широкому кругу </w:t>
      </w:r>
      <w:proofErr w:type="spellStart"/>
      <w:r w:rsidRPr="007B3D22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7B3D22">
        <w:rPr>
          <w:rFonts w:ascii="Times New Roman" w:hAnsi="Times New Roman" w:cs="Times New Roman"/>
          <w:sz w:val="24"/>
          <w:szCs w:val="24"/>
        </w:rPr>
        <w:t xml:space="preserve"> активностей. Их мотивация может быть разнообразнее и не всегда сосредоточена исключительно на учебе.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Магистранты</w:t>
      </w:r>
      <w:r w:rsidRPr="007B3D22">
        <w:rPr>
          <w:rFonts w:ascii="Times New Roman" w:hAnsi="Times New Roman" w:cs="Times New Roman"/>
          <w:sz w:val="24"/>
          <w:szCs w:val="24"/>
        </w:rPr>
        <w:t> часто имеют больше опыта, как в учёбе, так и в профессиональной деятельности. Они могут быть более целеустремлёнными и осведомлёнными о своих образовательных потребностях и целях.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Бакалавры</w:t>
      </w:r>
      <w:r w:rsidRPr="007B3D22">
        <w:rPr>
          <w:rFonts w:ascii="Times New Roman" w:hAnsi="Times New Roman" w:cs="Times New Roman"/>
          <w:sz w:val="24"/>
          <w:szCs w:val="24"/>
        </w:rPr>
        <w:t> могут видеть получение степени как начало своей профессиональной карьеры.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bCs/>
          <w:sz w:val="24"/>
          <w:szCs w:val="24"/>
        </w:rPr>
        <w:t>Магистранты</w:t>
      </w:r>
      <w:r w:rsidRPr="007B3D22">
        <w:rPr>
          <w:rFonts w:ascii="Times New Roman" w:hAnsi="Times New Roman" w:cs="Times New Roman"/>
          <w:sz w:val="24"/>
          <w:szCs w:val="24"/>
        </w:rPr>
        <w:t> часто воспринимают обучение как способ повышения квалификации для продвижения в карьере или подготовки к академической деятельности.</w:t>
      </w:r>
    </w:p>
    <w:p w:rsidR="00D80A7A" w:rsidRPr="007B3D22" w:rsidRDefault="00D80A7A" w:rsidP="007B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D22">
        <w:rPr>
          <w:rFonts w:ascii="Times New Roman" w:hAnsi="Times New Roman" w:cs="Times New Roman"/>
          <w:sz w:val="24"/>
          <w:szCs w:val="24"/>
        </w:rPr>
        <w:t>Эти различия могут приводить к тому, что подход к обучению и личная мотивация студентов на бакалаврском и магистрантском уровнях различаются.</w:t>
      </w:r>
    </w:p>
    <w:p w:rsidR="00892D10" w:rsidRDefault="00892D10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2D10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D10">
        <w:rPr>
          <w:rFonts w:ascii="Times New Roman" w:eastAsia="Times New Roman" w:hAnsi="Times New Roman" w:cs="Times New Roman"/>
          <w:bCs/>
          <w:sz w:val="24"/>
          <w:szCs w:val="24"/>
        </w:rPr>
        <w:t>Таблица 2</w:t>
      </w:r>
    </w:p>
    <w:p w:rsidR="00D80A7A" w:rsidRPr="00892D10" w:rsidRDefault="00D80A7A" w:rsidP="00892D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2D10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Сравнительный анализ мотивации магистрантов и бакалавров по методике </w:t>
      </w:r>
      <w:r w:rsidRPr="00892D10">
        <w:rPr>
          <w:rFonts w:ascii="Times New Roman" w:eastAsia="Times New Roman" w:hAnsi="Times New Roman" w:cs="Times New Roman"/>
          <w:sz w:val="24"/>
          <w:szCs w:val="24"/>
        </w:rPr>
        <w:t>для диагностики учебной мотивации студентов (</w:t>
      </w:r>
      <w:proofErr w:type="spellStart"/>
      <w:r w:rsidRPr="00892D10">
        <w:rPr>
          <w:rFonts w:ascii="Times New Roman" w:eastAsia="Times New Roman" w:hAnsi="Times New Roman" w:cs="Times New Roman"/>
          <w:sz w:val="24"/>
          <w:szCs w:val="24"/>
        </w:rPr>
        <w:t>А.А.Реан</w:t>
      </w:r>
      <w:proofErr w:type="spellEnd"/>
      <w:r w:rsidRPr="00892D10">
        <w:rPr>
          <w:rFonts w:ascii="Times New Roman" w:eastAsia="Times New Roman" w:hAnsi="Times New Roman" w:cs="Times New Roman"/>
          <w:sz w:val="24"/>
          <w:szCs w:val="24"/>
        </w:rPr>
        <w:t xml:space="preserve"> и В.А.Якунин, модификация Н.Ц.Бадмаевой)</w:t>
      </w:r>
    </w:p>
    <w:p w:rsidR="00D80A7A" w:rsidRPr="00892D10" w:rsidRDefault="00D80A7A" w:rsidP="00892D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0A7A" w:rsidRPr="007B3D22" w:rsidRDefault="00D80A7A" w:rsidP="00BC4191">
      <w:pPr>
        <w:spacing w:after="0" w:line="240" w:lineRule="auto"/>
        <w:jc w:val="both"/>
      </w:pPr>
      <w:r w:rsidRPr="007B3D22">
        <w:rPr>
          <w:noProof/>
          <w:bdr w:val="single" w:sz="4" w:space="0" w:color="auto"/>
        </w:rPr>
        <w:drawing>
          <wp:inline distT="0" distB="0" distL="0" distR="0">
            <wp:extent cx="5939790" cy="3618803"/>
            <wp:effectExtent l="19050" t="0" r="22860" b="697"/>
            <wp:docPr id="14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B3D22" w:rsidRDefault="007B3D22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</w:p>
    <w:p w:rsidR="007B3D22" w:rsidRDefault="00D80A7A" w:rsidP="00892D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Таблица 3 </w:t>
      </w:r>
    </w:p>
    <w:p w:rsidR="00D80A7A" w:rsidRPr="007B3D22" w:rsidRDefault="00D80A7A" w:rsidP="00892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484848"/>
          <w:sz w:val="21"/>
          <w:szCs w:val="21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Сравнительный анализ мотивации магистрантов и бакалавров по м</w:t>
      </w:r>
      <w:r w:rsidRPr="007B3D22">
        <w:rPr>
          <w:rFonts w:ascii="Times New Roman" w:eastAsia="Times New Roman" w:hAnsi="Times New Roman" w:cs="Times New Roman"/>
          <w:sz w:val="24"/>
          <w:szCs w:val="24"/>
        </w:rPr>
        <w:t>етодике Т.</w:t>
      </w:r>
      <w:r w:rsidR="007B3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3D22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="007B3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3D22">
        <w:rPr>
          <w:rFonts w:ascii="Times New Roman" w:eastAsia="Times New Roman" w:hAnsi="Times New Roman" w:cs="Times New Roman"/>
          <w:sz w:val="24"/>
          <w:szCs w:val="24"/>
        </w:rPr>
        <w:t>Ильиной «Изучение мотивации обучения студентов»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1"/>
          <w:szCs w:val="21"/>
        </w:rPr>
      </w:pPr>
    </w:p>
    <w:p w:rsidR="00D80A7A" w:rsidRPr="007B3D22" w:rsidRDefault="00D80A7A" w:rsidP="00BC4191">
      <w:pPr>
        <w:spacing w:after="0" w:line="240" w:lineRule="auto"/>
        <w:ind w:firstLine="142"/>
        <w:jc w:val="both"/>
      </w:pPr>
      <w:r w:rsidRPr="007B3D22">
        <w:rPr>
          <w:noProof/>
          <w:bdr w:val="single" w:sz="4" w:space="0" w:color="auto"/>
        </w:rPr>
        <w:drawing>
          <wp:inline distT="0" distB="0" distL="0" distR="0">
            <wp:extent cx="5940425" cy="2807014"/>
            <wp:effectExtent l="19050" t="0" r="22225" b="0"/>
            <wp:docPr id="13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Качественный анализ данных: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Анализируя данные об учебной мотивации бакалавров и магистрантов, можно выделить некоторые ключевые различия и тенденции: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Коммуникативные мотивы: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: Средний балл 4,11 указывает на достаточно высокий интерес к коммуникативным аспектам обучения. Это может свидетельствовать о важности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социокультурного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 общения и взаимодействия с однокурсниками в процессе обучения.</w:t>
      </w:r>
      <w:r w:rsid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 </w:t>
      </w: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Магистратура: Оценка 3,8 чуть ниже, что может указывать на сдвиг приоритетов, где магистранты менее ориентированы на социальное взаимодействие и больше сосредоточены на специализированных интересах.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lastRenderedPageBreak/>
        <w:t xml:space="preserve">Мотивы избегания неудач: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С показателем 2,52, данные свидетельствуют об умеренном уровне мотивации по избеганию неудач. Возможно, на этом уровне студенты ещё не сталкиваются с серьёзными академическими или профессиональными последствиями неудач. Магистратура: Балл 2,24, что чуть ниже, предполагает, что магистранты менее обеспокоены возможными неудачами, вероятно из-за уверенности в своих академических возможностях.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Профессиональные мотивы: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Балл 4,36 указывает на высокую заинтересованность в профессиональном развитии, что связано с попытками понимать и планировать будущую карьеру. Магистратура: С оценкой 4,54, профессиональная мотивация увеличивается, вероятно, из-за осознанности магистрантов о значимости образования для их профессиональной карьеры.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Творческие мотивы: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Оценка 4 указывает на высокий интерес к творческому самовыражению и развитию. Магистратура: Повышенный балл 4,11 объясняет, что магистранты также придают значение творческим аспектам, возможно, в контексте более углубленного изучения и исследований.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Учебно-познавательные мотивы: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Средний балл 3,78 демонстрирует заинтересованность в учёбе и познавательной деятельности. Магистратура: При оценке 3,61, у магистрантов наблюдается незначительное снижение интереса, что может быть связано с акцентом на применении уже полученных знаний в конкретных областях.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Социальные мотивы: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Балл 3,35 свидетельствует о значимости социального взаимодействия для этой группы студентов.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Магистратура: Пониженная оценка 2,85 говорит о том, что магистранты меньше интересуются социальными аспектами ради них самих, возможно, сосредотачиваясь на профессиональных и академических целях.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Мотивы престижа: </w:t>
      </w:r>
      <w:proofErr w:type="spell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Бакалавриат</w:t>
      </w:r>
      <w:proofErr w:type="spell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: Средняя оценка 3,27 отражает умеренное стремление к престижу среди студентов. Магистратура: Показатель ниже — 2,74, что может говорить о том, что магистранты больше сосредоточены на внутрисистемных целях и личных достижениях, нежели на сравнении с окружающими.</w:t>
      </w:r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proofErr w:type="gram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Методика </w:t>
      </w:r>
      <w:r w:rsidRPr="007B3D22">
        <w:rPr>
          <w:rFonts w:ascii="Times New Roman" w:eastAsia="Times New Roman" w:hAnsi="Times New Roman" w:cs="Times New Roman"/>
          <w:sz w:val="24"/>
          <w:szCs w:val="24"/>
        </w:rPr>
        <w:t>«Изучение мотивации обучения студентов» Ильиной Т.И. подтверждает по всем шкалам результаты методики для диагностики учебной мотивации студентов (</w:t>
      </w:r>
      <w:proofErr w:type="spellStart"/>
      <w:r w:rsidRPr="007B3D22">
        <w:rPr>
          <w:rFonts w:ascii="Times New Roman" w:eastAsia="Times New Roman" w:hAnsi="Times New Roman" w:cs="Times New Roman"/>
          <w:sz w:val="24"/>
          <w:szCs w:val="24"/>
        </w:rPr>
        <w:t>А.А.Реан</w:t>
      </w:r>
      <w:proofErr w:type="spellEnd"/>
      <w:r w:rsidRPr="007B3D22">
        <w:rPr>
          <w:rFonts w:ascii="Times New Roman" w:eastAsia="Times New Roman" w:hAnsi="Times New Roman" w:cs="Times New Roman"/>
          <w:sz w:val="24"/>
          <w:szCs w:val="24"/>
        </w:rPr>
        <w:t xml:space="preserve"> и В.А.Якунин, модификация Н.Ц.Бадмаевой</w:t>
      </w:r>
      <w:proofErr w:type="gramEnd"/>
    </w:p>
    <w:p w:rsidR="00D80A7A" w:rsidRPr="007B3D22" w:rsidRDefault="00D80A7A" w:rsidP="007B3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</w:pPr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В целом, магистранты, похоже, имеют </w:t>
      </w:r>
      <w:proofErr w:type="gramStart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>более направленную</w:t>
      </w:r>
      <w:proofErr w:type="gramEnd"/>
      <w:r w:rsidRPr="007B3D22">
        <w:rPr>
          <w:rFonts w:ascii="Times New Roman" w:eastAsia="Times New Roman" w:hAnsi="Times New Roman" w:cs="Times New Roman"/>
          <w:bCs/>
          <w:color w:val="484848"/>
          <w:sz w:val="24"/>
          <w:szCs w:val="24"/>
        </w:rPr>
        <w:t xml:space="preserve"> на профессиональные и творческие аспекты мотивацию, чем бакалавры, которые больше ориентированы на социальное взаимодействие и престиж.</w:t>
      </w:r>
    </w:p>
    <w:p w:rsidR="00DA52B1" w:rsidRPr="00DA52B1" w:rsidRDefault="00DA52B1" w:rsidP="00DA52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52B1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Результаты подтверждены методами математической статистики критерием Пирсона при p≥0,48 (выделено желтым цветом), при p≥0,61 выделено зеленым цветом. У бакалавров обнаружена значимая положительная корреляция между «Профессиональными мотивами» и «Творческой самореализацией» при p≥0,61 и значимая  положительная корреляция между следующими мотивами: «Коммуникативные мотивы» и Профессиональные мотивы», «Профессиональные мотивы» и «Учебно-познавательные мотивы» при p≥0,48.  Значимой взаимосвязи между шкалами у магистрантов не обнаружено. </w:t>
      </w: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</w:pPr>
    </w:p>
    <w:p w:rsidR="00DC1B15" w:rsidRPr="00DC1B15" w:rsidRDefault="00DC1B15" w:rsidP="00DC1B15">
      <w:pPr>
        <w:shd w:val="clear" w:color="auto" w:fill="FFFFFF"/>
        <w:spacing w:after="0" w:line="315" w:lineRule="atLeast"/>
        <w:ind w:firstLine="16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  <w:lastRenderedPageBreak/>
        <w:t>Литература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>1.    Асеев В. Г. Мотивация учебной деятельности и формирование личности / В. Г. Асеев. — М.: Мысль, 1976. — 158 </w:t>
      </w:r>
      <w:proofErr w:type="gramStart"/>
      <w:r w:rsidRPr="00DC1B1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C1B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>2.    Асеев В. Г. Проблема мотивации и личности /В. Г. Асеев // Теоретические проблемы психологии личности. — М., 1974. — С. 122—126.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>3.    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Вилюнас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> В. К. Психологические механизмы мотивации человека. М., 1990.— 288 с.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4.    Герасимова А. С. Мотивация учения в контексте 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 подхода: 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учебн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. пособие / А. С. Герасимова. — Белгород: </w:t>
      </w:r>
      <w:proofErr w:type="spellStart"/>
      <w:proofErr w:type="gramStart"/>
      <w:r w:rsidRPr="00DC1B15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 - во 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БелГУ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>, 2006. — 140 с.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5.    Карнаухов В. А. 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Мотивационно-смысловое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в структуре направленности личности. Учебное пособие.</w:t>
      </w:r>
      <w:proofErr w:type="gramStart"/>
      <w:r w:rsidRPr="00DC1B15">
        <w:rPr>
          <w:rFonts w:ascii="Times New Roman" w:eastAsia="Times New Roman" w:hAnsi="Times New Roman" w:cs="Times New Roman"/>
          <w:sz w:val="24"/>
          <w:szCs w:val="24"/>
        </w:rPr>
        <w:t>—Б</w:t>
      </w:r>
      <w:proofErr w:type="gramEnd"/>
      <w:r w:rsidRPr="00DC1B15">
        <w:rPr>
          <w:rFonts w:ascii="Times New Roman" w:eastAsia="Times New Roman" w:hAnsi="Times New Roman" w:cs="Times New Roman"/>
          <w:sz w:val="24"/>
          <w:szCs w:val="24"/>
        </w:rPr>
        <w:t xml:space="preserve">елгород: Изд-во </w:t>
      </w:r>
      <w:proofErr w:type="spellStart"/>
      <w:r w:rsidRPr="00DC1B15">
        <w:rPr>
          <w:rFonts w:ascii="Times New Roman" w:eastAsia="Times New Roman" w:hAnsi="Times New Roman" w:cs="Times New Roman"/>
          <w:sz w:val="24"/>
          <w:szCs w:val="24"/>
        </w:rPr>
        <w:t>БелГУ</w:t>
      </w:r>
      <w:proofErr w:type="spellEnd"/>
      <w:r w:rsidRPr="00DC1B15">
        <w:rPr>
          <w:rFonts w:ascii="Times New Roman" w:eastAsia="Times New Roman" w:hAnsi="Times New Roman" w:cs="Times New Roman"/>
          <w:sz w:val="24"/>
          <w:szCs w:val="24"/>
        </w:rPr>
        <w:t>, 2002.—71 </w:t>
      </w:r>
      <w:proofErr w:type="gramStart"/>
      <w:r w:rsidRPr="00DC1B1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C1B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1B15" w:rsidRPr="00DC1B15" w:rsidRDefault="00DC1B15" w:rsidP="00DC1B15">
      <w:pPr>
        <w:shd w:val="clear" w:color="auto" w:fill="FFFFFF"/>
        <w:spacing w:before="45" w:after="0" w:line="315" w:lineRule="atLeast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B15">
        <w:rPr>
          <w:rFonts w:ascii="Times New Roman" w:eastAsia="Times New Roman" w:hAnsi="Times New Roman" w:cs="Times New Roman"/>
          <w:sz w:val="24"/>
          <w:szCs w:val="24"/>
        </w:rPr>
        <w:t>6.    Сосновский Б. А. Мотив и смысл (психолого-педагогическое исследование). М., 1993.—199 с.</w:t>
      </w:r>
    </w:p>
    <w:p w:rsidR="00DC1B15" w:rsidRDefault="00DC1B15" w:rsidP="00DC1B15">
      <w:pPr>
        <w:widowControl w:val="0"/>
        <w:shd w:val="clear" w:color="auto" w:fill="FFFFFF"/>
        <w:tabs>
          <w:tab w:val="left" w:leader="underscore" w:pos="14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A7A" w:rsidRPr="00DA52B1" w:rsidRDefault="00D80A7A" w:rsidP="00DA52B1">
      <w:pPr>
        <w:spacing w:after="0" w:line="240" w:lineRule="auto"/>
        <w:ind w:firstLine="709"/>
        <w:jc w:val="both"/>
      </w:pPr>
    </w:p>
    <w:sectPr w:rsidR="00D80A7A" w:rsidRPr="00DA52B1" w:rsidSect="007B3D22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D80A7A"/>
    <w:rsid w:val="00302B6A"/>
    <w:rsid w:val="007B3D22"/>
    <w:rsid w:val="007E2F4E"/>
    <w:rsid w:val="00892D10"/>
    <w:rsid w:val="00BC4191"/>
    <w:rsid w:val="00C97914"/>
    <w:rsid w:val="00D80A7A"/>
    <w:rsid w:val="00DA52B1"/>
    <w:rsid w:val="00DC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6;&#1072;&#1073;&#1086;&#1090;&#1072;\Desktop\&#1053;&#1048;&#1056;%202025\&#1058;&#1077;&#1089;&#1090;%20&#1041;&#1072;&#1076;&#1084;&#1072;&#1077;&#1074;&#1072;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6;&#1072;&#1073;&#1086;&#1090;&#1072;\Desktop\&#1053;&#1048;&#1056;%202025\&#1058;&#1077;&#1089;&#1090;%20&#1048;&#1083;&#1100;&#1080;&#108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Лист3!$A$2</c:f>
              <c:strCache>
                <c:ptCount val="1"/>
                <c:pt idx="0">
                  <c:v>бакалавриат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Лист3!$B$1:$H$1</c:f>
              <c:strCache>
                <c:ptCount val="7"/>
                <c:pt idx="0">
                  <c:v>Коммуникативные мотивы </c:v>
                </c:pt>
                <c:pt idx="1">
                  <c:v>Мотивы избегания неудач</c:v>
                </c:pt>
                <c:pt idx="2">
                  <c:v>Профессиональные мотивы</c:v>
                </c:pt>
                <c:pt idx="3">
                  <c:v>Творческие мотивы</c:v>
                </c:pt>
                <c:pt idx="4">
                  <c:v>Учебно-познавательные мотивы</c:v>
                </c:pt>
                <c:pt idx="5">
                  <c:v>Социальные мотивы</c:v>
                </c:pt>
                <c:pt idx="6">
                  <c:v>Мотивы престижа</c:v>
                </c:pt>
              </c:strCache>
            </c:strRef>
          </c:cat>
          <c:val>
            <c:numRef>
              <c:f>Лист3!$B$2:$H$2</c:f>
              <c:numCache>
                <c:formatCode>General</c:formatCode>
                <c:ptCount val="7"/>
                <c:pt idx="0">
                  <c:v>4.1099999999999985</c:v>
                </c:pt>
                <c:pt idx="1">
                  <c:v>2.52</c:v>
                </c:pt>
                <c:pt idx="2">
                  <c:v>4.3599999999999985</c:v>
                </c:pt>
                <c:pt idx="3">
                  <c:v>4</c:v>
                </c:pt>
                <c:pt idx="4">
                  <c:v>3.7800000000000002</c:v>
                </c:pt>
                <c:pt idx="5">
                  <c:v>3.3499999999999988</c:v>
                </c:pt>
                <c:pt idx="6">
                  <c:v>3.27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CF1-4CBA-8DDD-D1D752C0A801}"/>
            </c:ext>
          </c:extLst>
        </c:ser>
        <c:ser>
          <c:idx val="1"/>
          <c:order val="1"/>
          <c:tx>
            <c:strRef>
              <c:f>Лист3!$A$3</c:f>
              <c:strCache>
                <c:ptCount val="1"/>
                <c:pt idx="0">
                  <c:v>магистратура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Лист3!$B$1:$H$1</c:f>
              <c:strCache>
                <c:ptCount val="7"/>
                <c:pt idx="0">
                  <c:v>Коммуникативные мотивы </c:v>
                </c:pt>
                <c:pt idx="1">
                  <c:v>Мотивы избегания неудач</c:v>
                </c:pt>
                <c:pt idx="2">
                  <c:v>Профессиональные мотивы</c:v>
                </c:pt>
                <c:pt idx="3">
                  <c:v>Творческие мотивы</c:v>
                </c:pt>
                <c:pt idx="4">
                  <c:v>Учебно-познавательные мотивы</c:v>
                </c:pt>
                <c:pt idx="5">
                  <c:v>Социальные мотивы</c:v>
                </c:pt>
                <c:pt idx="6">
                  <c:v>Мотивы престижа</c:v>
                </c:pt>
              </c:strCache>
            </c:strRef>
          </c:cat>
          <c:val>
            <c:numRef>
              <c:f>Лист3!$B$3:$H$3</c:f>
              <c:numCache>
                <c:formatCode>General</c:formatCode>
                <c:ptCount val="7"/>
                <c:pt idx="0">
                  <c:v>3.8</c:v>
                </c:pt>
                <c:pt idx="1">
                  <c:v>2.2400000000000002</c:v>
                </c:pt>
                <c:pt idx="2">
                  <c:v>4.54</c:v>
                </c:pt>
                <c:pt idx="3">
                  <c:v>4.1099999999999985</c:v>
                </c:pt>
                <c:pt idx="4">
                  <c:v>3.61</c:v>
                </c:pt>
                <c:pt idx="5">
                  <c:v>2.8499999999999988</c:v>
                </c:pt>
                <c:pt idx="6">
                  <c:v>2.74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CF1-4CBA-8DDD-D1D752C0A801}"/>
            </c:ext>
          </c:extLst>
        </c:ser>
        <c:axId val="20867328"/>
        <c:axId val="20930560"/>
      </c:barChart>
      <c:catAx>
        <c:axId val="20867328"/>
        <c:scaling>
          <c:orientation val="minMax"/>
        </c:scaling>
        <c:axPos val="b"/>
        <c:numFmt formatCode="General" sourceLinked="0"/>
        <c:tickLblPos val="nextTo"/>
        <c:crossAx val="20930560"/>
        <c:crosses val="autoZero"/>
        <c:auto val="1"/>
        <c:lblAlgn val="ctr"/>
        <c:lblOffset val="100"/>
      </c:catAx>
      <c:valAx>
        <c:axId val="20930560"/>
        <c:scaling>
          <c:orientation val="minMax"/>
        </c:scaling>
        <c:axPos val="l"/>
        <c:majorGridlines/>
        <c:numFmt formatCode="General" sourceLinked="1"/>
        <c:tickLblPos val="nextTo"/>
        <c:crossAx val="2086732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Лист2!$J$3</c:f>
              <c:strCache>
                <c:ptCount val="1"/>
                <c:pt idx="0">
                  <c:v>бакалавриат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Лист2!$K$2:$M$2</c:f>
              <c:strCache>
                <c:ptCount val="3"/>
                <c:pt idx="0">
                  <c:v>Шкала "Приобретение знаний" Среднее магистратура</c:v>
                </c:pt>
                <c:pt idx="1">
                  <c:v>Шкала "Овладение профессией" магистратура</c:v>
                </c:pt>
                <c:pt idx="2">
                  <c:v>Шкала    "Получение диплома" магистратура</c:v>
                </c:pt>
              </c:strCache>
            </c:strRef>
          </c:cat>
          <c:val>
            <c:numRef>
              <c:f>Лист2!$K$3:$M$3</c:f>
              <c:numCache>
                <c:formatCode>General</c:formatCode>
                <c:ptCount val="3"/>
                <c:pt idx="0">
                  <c:v>7.48</c:v>
                </c:pt>
                <c:pt idx="1">
                  <c:v>5.94</c:v>
                </c:pt>
                <c:pt idx="2">
                  <c:v>6.41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BF-4B98-807E-838FFCF2E854}"/>
            </c:ext>
          </c:extLst>
        </c:ser>
        <c:ser>
          <c:idx val="1"/>
          <c:order val="1"/>
          <c:tx>
            <c:strRef>
              <c:f>Лист2!$J$4</c:f>
              <c:strCache>
                <c:ptCount val="1"/>
                <c:pt idx="0">
                  <c:v>магистратура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Лист2!$K$2:$M$2</c:f>
              <c:strCache>
                <c:ptCount val="3"/>
                <c:pt idx="0">
                  <c:v>Шкала "Приобретение знаний" Среднее магистратура</c:v>
                </c:pt>
                <c:pt idx="1">
                  <c:v>Шкала "Овладение профессией" магистратура</c:v>
                </c:pt>
                <c:pt idx="2">
                  <c:v>Шкала    "Получение диплома" магистратура</c:v>
                </c:pt>
              </c:strCache>
            </c:strRef>
          </c:cat>
          <c:val>
            <c:numRef>
              <c:f>Лист2!$K$4:$M$4</c:f>
              <c:numCache>
                <c:formatCode>General</c:formatCode>
                <c:ptCount val="3"/>
                <c:pt idx="0">
                  <c:v>6.88</c:v>
                </c:pt>
                <c:pt idx="1">
                  <c:v>6.17</c:v>
                </c:pt>
                <c:pt idx="2">
                  <c:v>5.6099999999999985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7BF-4B98-807E-838FFCF2E854}"/>
            </c:ext>
          </c:extLst>
        </c:ser>
        <c:axId val="18802176"/>
        <c:axId val="18803712"/>
      </c:barChart>
      <c:catAx>
        <c:axId val="18802176"/>
        <c:scaling>
          <c:orientation val="minMax"/>
        </c:scaling>
        <c:axPos val="b"/>
        <c:numFmt formatCode="General" sourceLinked="0"/>
        <c:tickLblPos val="nextTo"/>
        <c:crossAx val="18803712"/>
        <c:crosses val="autoZero"/>
        <c:auto val="1"/>
        <c:lblAlgn val="ctr"/>
        <c:lblOffset val="100"/>
      </c:catAx>
      <c:valAx>
        <c:axId val="18803712"/>
        <c:scaling>
          <c:orientation val="minMax"/>
        </c:scaling>
        <c:axPos val="l"/>
        <c:majorGridlines/>
        <c:numFmt formatCode="General" sourceLinked="1"/>
        <c:tickLblPos val="nextTo"/>
        <c:crossAx val="1880217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5</cp:revision>
  <dcterms:created xsi:type="dcterms:W3CDTF">2025-02-18T07:27:00Z</dcterms:created>
  <dcterms:modified xsi:type="dcterms:W3CDTF">2025-02-18T12:00:00Z</dcterms:modified>
</cp:coreProperties>
</file>