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8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end"/>
        <w:rPr/>
      </w:pPr>
      <w:r>
        <w:rPr>
          <w:rStyle w:val="-"/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Анна Викторовна Гаськова, </w:t>
      </w:r>
    </w:p>
    <w:p>
      <w:pPr>
        <w:pStyle w:val="Style18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end"/>
        <w:rPr/>
      </w:pPr>
      <w:r>
        <w:rPr>
          <w:rStyle w:val="-"/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педагог дополнительного образования </w:t>
      </w:r>
    </w:p>
    <w:p>
      <w:pPr>
        <w:pStyle w:val="Style18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end"/>
        <w:rPr/>
      </w:pPr>
      <w:r>
        <w:rPr>
          <w:rStyle w:val="-"/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 </w:t>
      </w:r>
      <w:r>
        <w:rPr>
          <w:rStyle w:val="-"/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высшей квалификационной категории</w:t>
      </w:r>
    </w:p>
    <w:p>
      <w:pPr>
        <w:pStyle w:val="Style18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end"/>
        <w:rPr/>
      </w:pPr>
      <w:r>
        <w:rPr>
          <w:rStyle w:val="-"/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u w:val="none"/>
          <w:effect w:val="none"/>
        </w:rPr>
        <w:t>МАУ ДО ДЮЦ «Пламя» города Тюмени.</w:t>
      </w:r>
    </w:p>
    <w:p>
      <w:pPr>
        <w:pStyle w:val="Normal"/>
        <w:bidi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bidi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Педагогический мониторинг уровня сформированности детского коллектива в хореографической студии.</w:t>
      </w:r>
    </w:p>
    <w:p>
      <w:pPr>
        <w:pStyle w:val="Normal"/>
        <w:bidi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Style18"/>
        <w:bidi w:val="0"/>
        <w:spacing w:lineRule="auto" w:line="240" w:before="0" w:after="100"/>
        <w:ind w:start="0" w:end="0" w:hanging="0"/>
        <w:jc w:val="both"/>
        <w:rPr/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Аннотация.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статье рассматривается система педагогического мониторинга как инструмент оценки уровня сформированности детского коллектива в условиях хореографической студии. Освещаются теоретические основы и практические аспекты диагностической деятельности педагога-хореографа, включающей комплексный анализ организационных, творческих и социально-психологических характеристик коллектива.</w:t>
      </w:r>
    </w:p>
    <w:p>
      <w:pPr>
        <w:pStyle w:val="Style18"/>
        <w:widowControl/>
        <w:pBdr/>
        <w:bidi w:val="0"/>
        <w:spacing w:before="0" w:after="16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>Особое внимание уделяется описанию методического инструментария, адаптированного к специфике хореографической деятельности, который включает педагогическое наблюдение, социометрические исследования, экспертные оценки и самодиагностику участников. Представлена авторская матрица критериев и показателей, отражающих динамику развития детского творческого коллектива.</w:t>
      </w:r>
    </w:p>
    <w:p>
      <w:pPr>
        <w:pStyle w:val="Style18"/>
        <w:widowControl/>
        <w:pBdr/>
        <w:bidi w:val="0"/>
        <w:spacing w:before="0" w:after="16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>Анализируются основные параметры мониторинга: групповая сплоченность, характер межличностных отношений, результативность творческой деятельности, сохранность контингента и дисциплинарная организация. Описываются методы интерпретации полученных данных и их практическое применение в педагогической практике.</w:t>
      </w:r>
    </w:p>
    <w:p>
      <w:pPr>
        <w:pStyle w:val="Style18"/>
        <w:widowControl/>
        <w:pBdr/>
        <w:bidi w:val="0"/>
        <w:spacing w:before="0" w:after="16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>Исследование демонстрирует, как систематический мониторинг способствует повышению эффективности управления коллективом и индивидуализации образовательного процесса в хореографической студии.</w:t>
      </w:r>
    </w:p>
    <w:p>
      <w:pPr>
        <w:pStyle w:val="Style18"/>
        <w:widowControl/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/>
          <w:bCs/>
          <w:i w:val="false"/>
          <w:color w:val="000000"/>
          <w:sz w:val="24"/>
          <w:szCs w:val="24"/>
        </w:rPr>
      </w:pPr>
      <w:r>
        <w:rPr>
          <w:rStyle w:val="Style16"/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Ключевые слова:</w:t>
      </w: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педагогический мониторинг, детский коллектив, хореографическая студия, диагностика развития, групповая динамика, творческое объединение, педагогическая диагностика.</w:t>
      </w:r>
    </w:p>
    <w:p>
      <w:pPr>
        <w:pStyle w:val="Style18"/>
        <w:bidi w:val="0"/>
        <w:ind w:start="-15" w:end="-8" w:firstLine="698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современном социокультурном пространстве наблюдается интенсификация развития хореографического искусства, что подтверждается количественным ростом танцевальных коллективов и образовательных учреждений данной направленности. Статистические данные свидетельствуют о систематическом увеличении числа хореографических объединений и школ различного профиля.</w:t>
      </w:r>
    </w:p>
    <w:p>
      <w:pPr>
        <w:pStyle w:val="Style18"/>
        <w:widowControl/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>Медиапространство активно способствует популяризации танцевального искусства через различные каналы коммуникации, что формирует устойчивый интерес к хореографической культуре среди различных социальных групп населения. Данный тренд отражает общую тенденцию гуманизации общества и возрастающей значимости искусства как фактора социокультурного развития.</w:t>
      </w:r>
    </w:p>
    <w:p>
      <w:pPr>
        <w:pStyle w:val="Style18"/>
        <w:bidi w:val="0"/>
        <w:ind w:start="-15" w:end="-8" w:firstLine="698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Данный феномен обусловлен тем, что танцевальное искусство представляет собой комплексный инструмент педагогической коррекции и развития личности ребенка. Интеграция двигательных действий и музыкального сопровождения оказывает синергетическое воздействие на психоэмоциональную сферу развивающейся личности, стимулируя креативные способности и формируя эстетические предпочтения.</w:t>
      </w:r>
    </w:p>
    <w:p>
      <w:pPr>
        <w:pStyle w:val="Style18"/>
        <w:widowControl/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Хореографический коллектив функционирует как социально-педагогическая среда, способствующая формированию важнейших жизненных навыков и качеств личности. При условии грамотной организации педагогического процесса и создания благоприятного психологического климата, танцевальный коллектив может выполнять роль значимой социальной среды для ребенка на протяжении длительного периода его развития, превышающего 10 лет.</w:t>
      </w:r>
    </w:p>
    <w:p>
      <w:pPr>
        <w:pStyle w:val="Style18"/>
        <w:bidi w:val="0"/>
        <w:ind w:start="-15" w:end="-8" w:firstLine="698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Формирование устойчивого хореографического коллектива – процесс эволюционный и энергозатратный. Специфика детских танцевальных коллективов,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особенно в учреждениях дополнительного образования,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определяется их полиструктурностью, что обусловлено разнородностью состава участников: различные возрастные категории, неодинаковый физический потенциал и вариативность психотипов.</w:t>
      </w:r>
    </w:p>
    <w:p>
      <w:pPr>
        <w:pStyle w:val="Style18"/>
        <w:widowControl/>
        <w:pBdr/>
        <w:bidi w:val="0"/>
        <w:spacing w:lineRule="auto" w:line="276" w:before="0" w:after="160"/>
        <w:ind w:start="0" w:end="48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>Важно отметить, что термином “коллектив” следует обозначать лишь те объединения, которые достигли высокого уровня организационного развития. Отличительными признаками такого коллектива выступают:</w:t>
      </w:r>
    </w:p>
    <w:p>
      <w:pPr>
        <w:pStyle w:val="Style18"/>
        <w:widowControl/>
        <w:numPr>
          <w:ilvl w:val="0"/>
          <w:numId w:val="1"/>
        </w:numPr>
        <w:pBdr/>
        <w:bidi w:val="0"/>
        <w:spacing w:lineRule="atLeast" w:line="260" w:before="0"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целостность внутренней структуры;</w:t>
      </w:r>
    </w:p>
    <w:p>
      <w:pPr>
        <w:pStyle w:val="Style18"/>
        <w:widowControl/>
        <w:numPr>
          <w:ilvl w:val="0"/>
          <w:numId w:val="1"/>
        </w:numPr>
        <w:pBdr/>
        <w:bidi w:val="0"/>
        <w:spacing w:lineRule="atLeast" w:line="260" w:before="0"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слаженность действий участников;</w:t>
      </w:r>
    </w:p>
    <w:p>
      <w:pPr>
        <w:pStyle w:val="Style18"/>
        <w:widowControl/>
        <w:numPr>
          <w:ilvl w:val="0"/>
          <w:numId w:val="1"/>
        </w:numPr>
        <w:pBdr/>
        <w:bidi w:val="0"/>
        <w:spacing w:lineRule="atLeast" w:line="260" w:before="0"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развитые коммуникативные связи.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lineRule="auto" w:line="276"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Создание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полноценного коллектива – поэтапный процесс, требующий системного подхода и профессионального руководства. На пути к формированию высокоорганизованного творческого объединения можно выделить несколько ключевых стадий:</w:t>
      </w:r>
    </w:p>
    <w:p>
      <w:pPr>
        <w:pStyle w:val="Style18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bidi w:val="0"/>
        <w:spacing w:lineRule="auto" w:line="276" w:before="0" w:after="0"/>
        <w:ind w:start="0" w:end="0" w:hanging="283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Начальная стадия – формирование базового состава участников и первичных организационных структур.</w:t>
      </w:r>
    </w:p>
    <w:p>
      <w:pPr>
        <w:pStyle w:val="Style18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bidi w:val="0"/>
        <w:spacing w:lineRule="auto" w:line="276" w:before="0" w:after="0"/>
        <w:ind w:start="0" w:end="0" w:hanging="283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Стадия становления – выработка общих правил взаимодействия и первичных навыков совместной деятельности.</w:t>
      </w:r>
    </w:p>
    <w:p>
      <w:pPr>
        <w:pStyle w:val="Style18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bidi w:val="0"/>
        <w:spacing w:lineRule="auto" w:line="276" w:before="0" w:after="0"/>
        <w:ind w:start="0" w:end="0" w:hanging="283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Стадия развития – углубление взаимосвязей между участниками, формирование корпоративной культуры.</w:t>
      </w:r>
    </w:p>
    <w:p>
      <w:pPr>
        <w:pStyle w:val="Style18"/>
        <w:widowControl/>
        <w:numPr>
          <w:ilvl w:val="0"/>
          <w:numId w:val="2"/>
        </w:numPr>
        <w:pBdr/>
        <w:tabs>
          <w:tab w:val="clear" w:pos="709"/>
          <w:tab w:val="left" w:pos="0" w:leader="none"/>
        </w:tabs>
        <w:bidi w:val="0"/>
        <w:spacing w:lineRule="auto" w:line="276" w:before="0" w:after="0"/>
        <w:ind w:start="0" w:end="0" w:hanging="283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Стадия зрелости – достижение высокого уровня организованности и психологической совместимости.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lineRule="auto" w:line="276"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Результативность управления детским хореографическим коллективом определяется способностью педагога анализировать этапы его развития и применять адресные методы взаимодействия. Ключевым аспектом становится непрерывное отслеживание групповой динамики через призму педагогической диагностики, которая служит основой для принятия управленческих решений.</w:t>
      </w:r>
    </w:p>
    <w:p>
      <w:pPr>
        <w:pStyle w:val="Style18"/>
        <w:widowControl/>
        <w:pBdr/>
        <w:bidi w:val="0"/>
        <w:spacing w:lineRule="auto" w:line="276" w:before="0" w:after="160"/>
        <w:ind w:start="0" w:end="48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Диагностический инструментарий в работе хореографа реализует три взаимосвязанные задачи:</w:t>
      </w:r>
    </w:p>
    <w:p>
      <w:pPr>
        <w:pStyle w:val="Style18"/>
        <w:widowControl/>
        <w:numPr>
          <w:ilvl w:val="0"/>
          <w:numId w:val="3"/>
        </w:numPr>
        <w:pBdr/>
        <w:tabs>
          <w:tab w:val="clear" w:pos="709"/>
          <w:tab w:val="left" w:pos="240" w:leader="none"/>
        </w:tabs>
        <w:bidi w:val="0"/>
        <w:spacing w:lineRule="auto" w:line="276" w:before="0" w:after="0"/>
        <w:ind w:start="240" w:end="720" w:hanging="283"/>
        <w:jc w:val="both"/>
        <w:rPr/>
      </w:pP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Оценочная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– определение степени слаженности группы и её художественных возможностей</w:t>
      </w:r>
    </w:p>
    <w:p>
      <w:pPr>
        <w:pStyle w:val="Style18"/>
        <w:widowControl/>
        <w:numPr>
          <w:ilvl w:val="0"/>
          <w:numId w:val="3"/>
        </w:numPr>
        <w:pBdr/>
        <w:tabs>
          <w:tab w:val="clear" w:pos="709"/>
          <w:tab w:val="left" w:pos="240" w:leader="none"/>
        </w:tabs>
        <w:bidi w:val="0"/>
        <w:spacing w:lineRule="auto" w:line="276" w:before="0" w:after="0"/>
        <w:ind w:start="240" w:end="720" w:hanging="283"/>
        <w:jc w:val="both"/>
        <w:rPr/>
      </w:pP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Стратегическая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– проекция персональных векторов развития воспитанников</w:t>
      </w:r>
    </w:p>
    <w:p>
      <w:pPr>
        <w:pStyle w:val="Style18"/>
        <w:widowControl/>
        <w:numPr>
          <w:ilvl w:val="0"/>
          <w:numId w:val="3"/>
        </w:numPr>
        <w:pBdr/>
        <w:tabs>
          <w:tab w:val="clear" w:pos="709"/>
          <w:tab w:val="left" w:pos="240" w:leader="none"/>
        </w:tabs>
        <w:bidi w:val="0"/>
        <w:spacing w:lineRule="auto" w:line="276" w:before="0" w:after="0"/>
        <w:ind w:start="240" w:end="720" w:hanging="283"/>
        <w:jc w:val="both"/>
        <w:rPr/>
      </w:pP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Регулятивная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– модификация педагогических техник в соответствии с текущими запросами коллектива</w:t>
      </w:r>
    </w:p>
    <w:p>
      <w:pPr>
        <w:pStyle w:val="Style18"/>
        <w:widowControl/>
        <w:pBdr/>
        <w:bidi w:val="0"/>
        <w:spacing w:lineRule="auto" w:line="276" w:before="0" w:after="0"/>
        <w:ind w:start="0" w:end="48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Грамотный педагог-хореограф преобразует аналитическую информацию в конкретные педагогические действия, балансируя между групповыми задачами и персональными потребностями воспитанников. Интеграция диагностического компонента в образовательную практику способствует эволюции учебно-творческой системы, выводя её на уровень, отвечающий требованиям инновационной педагогики в сфере искусства.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lineRule="auto" w:line="276"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настоящее время отсутствуют специализированные инструменты оценки степени зрелости детских танцевальных коллективов. В рамках нашего исследования был осуществлён творческий синтез – адаптация диагностических методик, применяемых для анализа школьных сообществ, к специфике хореографической практики.</w:t>
      </w:r>
    </w:p>
    <w:p>
      <w:pPr>
        <w:pStyle w:val="Style18"/>
        <w:widowControl/>
        <w:numPr>
          <w:ilvl w:val="0"/>
          <w:numId w:val="4"/>
        </w:numPr>
        <w:pBdr/>
        <w:tabs>
          <w:tab w:val="clear" w:pos="709"/>
          <w:tab w:val="left" w:pos="0" w:leader="none"/>
        </w:tabs>
        <w:bidi w:val="0"/>
        <w:spacing w:lineRule="auto" w:line="276" w:before="0" w:after="0"/>
        <w:ind w:start="0" w:end="0" w:hanging="283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widowControl/>
        <w:pBdr/>
        <w:bidi w:val="0"/>
        <w:spacing w:lineRule="auto" w:line="276" w:before="0" w:after="160"/>
        <w:ind w:start="0" w:end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Предложенная модель оценки включает три ключевых компонента:</w:t>
      </w:r>
    </w:p>
    <w:p>
      <w:pPr>
        <w:pStyle w:val="Style18"/>
        <w:widowControl/>
        <w:numPr>
          <w:ilvl w:val="0"/>
          <w:numId w:val="5"/>
        </w:numPr>
        <w:pBdr/>
        <w:bidi w:val="0"/>
        <w:spacing w:lineRule="auto" w:line="276" w:before="0" w:after="160"/>
        <w:jc w:val="both"/>
        <w:rPr/>
      </w:pP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Систему критериев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– интегральные характеристики, отражающие основные аспекты развития коллектива.</w:t>
      </w:r>
    </w:p>
    <w:p>
      <w:pPr>
        <w:pStyle w:val="Style18"/>
        <w:widowControl/>
        <w:numPr>
          <w:ilvl w:val="0"/>
          <w:numId w:val="5"/>
        </w:numPr>
        <w:pBdr/>
        <w:bidi w:val="0"/>
        <w:spacing w:lineRule="auto" w:line="276" w:before="0" w:after="160"/>
        <w:jc w:val="both"/>
        <w:rPr/>
      </w:pP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Диагностические показатели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– конкретные индикаторы, поддающиеся наблюдению и измерению.</w:t>
      </w:r>
    </w:p>
    <w:p>
      <w:pPr>
        <w:pStyle w:val="Style18"/>
        <w:widowControl/>
        <w:numPr>
          <w:ilvl w:val="0"/>
          <w:numId w:val="5"/>
        </w:numPr>
        <w:pBdr/>
        <w:bidi w:val="0"/>
        <w:spacing w:lineRule="auto" w:line="276" w:before="0" w:after="160"/>
        <w:jc w:val="both"/>
        <w:rPr/>
      </w:pP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Модифицированный инструментарий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– переработанные методики психолого-педагогической диагностики</w:t>
      </w:r>
    </w:p>
    <w:p>
      <w:pPr>
        <w:pStyle w:val="Style18"/>
        <w:widowControl/>
        <w:pBdr/>
        <w:bidi w:val="0"/>
        <w:spacing w:before="0" w:after="160"/>
        <w:ind w:start="0" w:end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Такой интегративный подход позволяет количественно и качественно оценивать:</w:t>
        <w:br/>
        <w:t>▸Динамику межличностных отношений в группе</w:t>
        <w:br/>
        <w:t>▸Формирование корпоративной идентичности</w:t>
        <w:br/>
        <w:t>▸ Эффективность педагогических стратегий</w:t>
      </w:r>
    </w:p>
    <w:p>
      <w:pPr>
        <w:pStyle w:val="Style18"/>
        <w:widowControl/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Данная методологическая разработка заполняет существующий пробел в инструментарии хореографической педагогики, предлагая системный подход к анализу этапов становления детского творческого коллектива.</w:t>
      </w:r>
    </w:p>
    <w:p>
      <w:pPr>
        <w:pStyle w:val="Style18"/>
        <w:widowControl/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widowControl/>
        <w:pBdr/>
        <w:bidi w:val="0"/>
        <w:spacing w:before="0" w:after="0"/>
        <w:ind w:start="0" w:end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Style18"/>
        <w:widowControl/>
        <w:pBdr/>
        <w:bidi w:val="0"/>
        <w:spacing w:before="0" w:after="0"/>
        <w:ind w:start="0" w:end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Критерии диагностической методики</w:t>
      </w:r>
    </w:p>
    <w:p>
      <w:pPr>
        <w:pStyle w:val="Style18"/>
        <w:widowControl/>
        <w:pBdr/>
        <w:bidi w:val="0"/>
        <w:spacing w:before="0" w:after="0"/>
        <w:ind w:start="0" w:end="0" w:hanging="0"/>
        <w:jc w:val="center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3212"/>
        <w:gridCol w:w="3213"/>
        <w:gridCol w:w="3213"/>
      </w:tblGrid>
      <w:tr>
        <w:trPr/>
        <w:tc>
          <w:tcPr>
            <w:tcW w:w="32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32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32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Измерители</w:t>
            </w:r>
          </w:p>
        </w:tc>
      </w:tr>
      <w:tr>
        <w:trPr/>
        <w:tc>
          <w:tcPr>
            <w:tcW w:w="321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сплоченности группы</w:t>
            </w:r>
          </w:p>
        </w:tc>
        <w:tc>
          <w:tcPr>
            <w:tcW w:w="3213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Согласие в группе, степень удовлетворения потребностей ребенка в группе</w:t>
            </w:r>
          </w:p>
        </w:tc>
        <w:tc>
          <w:tcPr>
            <w:tcW w:w="321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Методика определение индекса групповой сплоченности Сишора</w:t>
            </w:r>
          </w:p>
        </w:tc>
      </w:tr>
      <w:tr>
        <w:trPr/>
        <w:tc>
          <w:tcPr>
            <w:tcW w:w="321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Характер эмоциональных отношений</w:t>
            </w:r>
          </w:p>
        </w:tc>
        <w:tc>
          <w:tcPr>
            <w:tcW w:w="3213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Эмоционально благополучные отношения, нейтральные конфликтные отношения</w:t>
            </w:r>
          </w:p>
        </w:tc>
        <w:tc>
          <w:tcPr>
            <w:tcW w:w="321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Социометрия</w:t>
            </w:r>
          </w:p>
        </w:tc>
      </w:tr>
      <w:tr>
        <w:trPr/>
        <w:tc>
          <w:tcPr>
            <w:tcW w:w="321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Наличие дружественных связей</w:t>
            </w:r>
          </w:p>
        </w:tc>
        <w:tc>
          <w:tcPr>
            <w:tcW w:w="3213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Наличие друзей в коллективе, общение детей между собой вне коллектива.</w:t>
            </w:r>
          </w:p>
        </w:tc>
        <w:tc>
          <w:tcPr>
            <w:tcW w:w="321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Методика «Наши отношения» Фридман Л. М.</w:t>
            </w:r>
          </w:p>
        </w:tc>
      </w:tr>
    </w:tbl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star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/>
          <w:color w:val="000000"/>
          <w:sz w:val="24"/>
          <w:szCs w:val="24"/>
        </w:rPr>
        <w:t>Для выявления степени удовлетворенности воспитанников различными сторонами жизни коллектива нами использовалась методика составленная Фридман Л. М., «Наши отношения». Методика была адаптирована нами применительно к детскому коллективу в УДО.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Для определения групповой сплоченности использовалась методика Определение индекса групповой сплоченности Сишора. 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Основной метод, используемый в нашей работе,– педагогическое наблюдение. Наблюдение помогает составить мнение о каждом ученике и его участии в жизни коллектива без вмешательства со стороны взрослого,  также позволяет понять суть конфликтных ситуаций и сформировать мнение о поведении ребенка и совершаемых им поступках.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Наблюдение помогает выявить </w:t>
      </w: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скрытые механизмы групповой динамики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и </w:t>
      </w: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объективно оценить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ключевые аспекты развития коллектива в естественных условиях творческого процесса. Этот метод позволяет педагогу:</w:t>
      </w:r>
    </w:p>
    <w:p>
      <w:pPr>
        <w:pStyle w:val="Style18"/>
        <w:widowControl/>
        <w:numPr>
          <w:ilvl w:val="0"/>
          <w:numId w:val="4"/>
        </w:numPr>
        <w:pBdr/>
        <w:tabs>
          <w:tab w:val="clear" w:pos="709"/>
          <w:tab w:val="left" w:pos="0" w:leader="none"/>
        </w:tabs>
        <w:bidi w:val="0"/>
        <w:spacing w:before="0" w:after="0"/>
        <w:ind w:start="0" w:end="0" w:hanging="283"/>
        <w:jc w:val="both"/>
        <w:rPr/>
      </w:pP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Фиксировать спонтанные реакции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участников во время репетиций и выступлений.</w:t>
      </w:r>
    </w:p>
    <w:p>
      <w:pPr>
        <w:pStyle w:val="Style18"/>
        <w:widowControl/>
        <w:numPr>
          <w:ilvl w:val="0"/>
          <w:numId w:val="4"/>
        </w:numPr>
        <w:pBdr/>
        <w:tabs>
          <w:tab w:val="clear" w:pos="709"/>
          <w:tab w:val="left" w:pos="0" w:leader="none"/>
        </w:tabs>
        <w:bidi w:val="0"/>
        <w:spacing w:before="0" w:after="0"/>
        <w:ind w:start="0" w:end="0" w:hanging="283"/>
        <w:jc w:val="both"/>
        <w:rPr/>
      </w:pP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Анализировать невербальные паттерны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взаимодействия (мимику, жесты, пространственную организацию группы).</w:t>
      </w:r>
    </w:p>
    <w:p>
      <w:pPr>
        <w:pStyle w:val="Style18"/>
        <w:widowControl/>
        <w:numPr>
          <w:ilvl w:val="0"/>
          <w:numId w:val="4"/>
        </w:numPr>
        <w:pBdr/>
        <w:tabs>
          <w:tab w:val="clear" w:pos="709"/>
          <w:tab w:val="left" w:pos="0" w:leader="none"/>
        </w:tabs>
        <w:bidi w:val="0"/>
        <w:spacing w:before="0" w:after="0"/>
        <w:ind w:start="0" w:end="0" w:hanging="283"/>
        <w:jc w:val="both"/>
        <w:rPr/>
      </w:pP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Оценивать уровень синхронности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исполнения как индикатор групповой слаженности.</w:t>
      </w:r>
    </w:p>
    <w:p>
      <w:pPr>
        <w:pStyle w:val="Style18"/>
        <w:widowControl/>
        <w:numPr>
          <w:ilvl w:val="0"/>
          <w:numId w:val="4"/>
        </w:numPr>
        <w:pBdr/>
        <w:tabs>
          <w:tab w:val="clear" w:pos="709"/>
          <w:tab w:val="left" w:pos="0" w:leader="none"/>
        </w:tabs>
        <w:bidi w:val="0"/>
        <w:spacing w:before="0" w:after="0"/>
        <w:ind w:start="0" w:end="0" w:hanging="2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Выявлять лидерские качества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и ролевое распределение в коллективе</w:t>
      </w:r>
      <w:r>
        <w:rPr>
          <w:rFonts w:ascii="Times New Roman" w:hAnsi="Times New Roman"/>
          <w:color w:val="000000"/>
          <w:sz w:val="24"/>
          <w:szCs w:val="24"/>
        </w:rPr>
        <w:t xml:space="preserve"> Диагностика осуществляласьв соответствии с содержанием данной таблицы, в которой наглядно выделены основные признаки развития коллектива, обозначены уровни развития и даны комментарии к расшифровке уровней 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start"/>
        <w:rPr>
          <w:rStyle w:val="Style16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</w:r>
    </w:p>
    <w:p>
      <w:pPr>
        <w:pStyle w:val="Style18"/>
        <w:widowControl/>
        <w:pBdr/>
        <w:bidi w:val="0"/>
        <w:spacing w:before="0" w:after="160"/>
        <w:ind w:start="0" w:end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Отслеживание уровня развития коллектива</w:t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2409"/>
        <w:gridCol w:w="2410"/>
        <w:gridCol w:w="2409"/>
        <w:gridCol w:w="2410"/>
      </w:tblGrid>
      <w:tr>
        <w:trPr/>
        <w:tc>
          <w:tcPr>
            <w:tcW w:w="24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коллектива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развития признака</w:t>
            </w:r>
          </w:p>
        </w:tc>
      </w:tr>
      <w:tr>
        <w:trPr/>
        <w:tc>
          <w:tcPr>
            <w:tcW w:w="2409" w:type="dxa"/>
            <w:vMerge w:val="continue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к общезначимой цели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40% участников коллектива пропускают занятия без уважительной причины (8 чел). Посещение дополнительных занятий. 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Более 30% участников коллектива часто пропускают занятия без уважительной причины 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Большинство участников коллектива часто пропускают занятия без уважительной причины 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Большинство участников коллектива (более 50 %) соблюдают дисциплину 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Более 50 % воспитанников пренебрегают соблюдением дисциплины 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Дисциплину соблюдают только 5- 10 % воспитанников 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сплоченность. Методика групповой сплоченности Сишора Ханина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60% участников коллектива набирают 15 и выше баллов 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tabs>
                <w:tab w:val="clear" w:pos="709"/>
                <w:tab w:val="left" w:pos="1900" w:leader="none"/>
              </w:tabs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11-14 балла - У более 60% воспитанников 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баллов и ниже -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60 % воспитанников 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дружеских связей. Методика «Наши отношения», Фридман Л. Н.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60% и более воспитанников считают свой коллектив дружным или очень дружным и сплоченным 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Есть эпизодические конфликты Ограниченные групповые привязанности. Дружным свой коллектив считают 50-55% воспитанников 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Есть отверженные, в коллективе. Конфликтность между группами. Более 50 % детей считают свой коллектив недружным либо считают что каждый существует сам по себе 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Сохранность контингента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Менее 90 % сохранность коллектива на конец учебного года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80-70 %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Сохранность контингента составляет 60 % от набора в начале учебного года.</w:t>
            </w:r>
          </w:p>
        </w:tc>
      </w:tr>
      <w:tr>
        <w:trPr/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деятельности коллектива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Большое число хореографических постановок, участие в концертах, высокие результаты на конкурсах </w:t>
            </w:r>
          </w:p>
        </w:tc>
        <w:tc>
          <w:tcPr>
            <w:tcW w:w="240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мероприятиях, наличие результатов деятельности. </w:t>
            </w:r>
          </w:p>
        </w:tc>
        <w:tc>
          <w:tcPr>
            <w:tcW w:w="241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2"/>
              <w:bidi w:val="0"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принимают участие в мероприятиях </w:t>
            </w:r>
          </w:p>
        </w:tc>
      </w:tr>
    </w:tbl>
    <w:p>
      <w:pPr>
        <w:pStyle w:val="Style18"/>
        <w:widowControl/>
        <w:pBdr/>
        <w:bidi w:val="0"/>
        <w:spacing w:before="0" w:after="160"/>
        <w:ind w:start="0" w:end="0" w:hanging="0"/>
        <w:jc w:val="star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1. Движение к общезначимой цели: - участники коллектива ответственно относятся к занятиям (не пропускают без уважительных причин);- Совершенствуют технический уровень исполнения танцевальных элементов (диагностика физических данных: танцевальный шаг, гибкость, координация); - стремятся к высокому результату на конкурсах. 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2. Дисциплина: Это основополагающий метод организации хореографического коллектива, несоблюдение которого ведет к нарушению профессионального ориентирования и даже к травматизму, профессиональной непригодности. Правила поведения, соответствующие принятым в требованиям в коллективе: нет опоздании на занятии, соблюдение техники безопасности, требование к внешнему виду, требованиек поведению на занятиях. 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3. Групповая сплоченность: Используемая методика: Определение индекса групповой сплоченности Сишора. Цель: Выявить степень интеграции группы, ее сплоченность в единое целое . 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4.Наличие дружественных связей. Общаются между собой в свободное время, комфортная атмосфера в коллективе. Используемая методика «Наши отношения» (составлена Фридман Л. М) . Цель: выявить степень удовлетворенности учащихся различными сторонами жизни коллектива.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5. Результаты деятельности коллектива. Позитивные результаты деятельности коллектива. Большое число хореографических постановок говорит о сплоченности группы, сработанности, стремлению к цели. </w:t>
      </w:r>
    </w:p>
    <w:p>
      <w:pPr>
        <w:pStyle w:val="Style18"/>
        <w:widowControl/>
        <w:numPr>
          <w:ilvl w:val="0"/>
          <w:numId w:val="0"/>
        </w:numPr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6. Сохранность контингента. Сохранность контингента более 90% говорит о положительном психологическом климате в коллективе, стремлении детей находиться в коллективе. </w:t>
      </w:r>
    </w:p>
    <w:p>
      <w:pPr>
        <w:pStyle w:val="Style18"/>
        <w:widowControl/>
        <w:bidi w:val="0"/>
        <w:spacing w:before="0" w:after="0"/>
        <w:ind w:start="0" w:end="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Style18"/>
        <w:widowControl/>
        <w:pBdr/>
        <w:bidi w:val="0"/>
        <w:spacing w:before="0" w:after="160"/>
        <w:ind w:start="0" w:end="0" w:hanging="0"/>
        <w:jc w:val="both"/>
        <w:rPr/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Вывод: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/>
        <w:t xml:space="preserve">Основной целью современного образования является формирование всесторонне развитой творческой личности, способной к социальному взаимодействию и работе в коллективе. Эта цель отражает объективную потребность общества в человеке, соответствующем настоящему этапу общественного развития. Значительную роль в ее реализации играют учреждения дополнительного образования детей, в частности хореографическая самодеятельность, в которой педагогический процесс протекает в форме предметной танцевальной ансамблевой деятельности. </w:t>
      </w:r>
    </w:p>
    <w:p>
      <w:pPr>
        <w:pStyle w:val="Style18"/>
        <w:widowControl/>
        <w:pBdr/>
        <w:bidi w:val="0"/>
        <w:spacing w:before="0" w:after="16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процессе становления коллектива необходимо уделять особое внимание:</w:t>
      </w:r>
    </w:p>
    <w:p>
      <w:pPr>
        <w:pStyle w:val="Style18"/>
        <w:widowControl/>
        <w:numPr>
          <w:ilvl w:val="0"/>
          <w:numId w:val="6"/>
        </w:numPr>
        <w:pBdr/>
        <w:bidi w:val="0"/>
        <w:spacing w:before="0"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Развитию коммуникативных навыков.</w:t>
      </w:r>
    </w:p>
    <w:p>
      <w:pPr>
        <w:pStyle w:val="Style18"/>
        <w:widowControl/>
        <w:numPr>
          <w:ilvl w:val="0"/>
          <w:numId w:val="6"/>
        </w:numPr>
        <w:pBdr/>
        <w:bidi w:val="0"/>
        <w:spacing w:before="0"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Формированию взаимоподдержки.</w:t>
      </w:r>
    </w:p>
    <w:p>
      <w:pPr>
        <w:pStyle w:val="Style18"/>
        <w:widowControl/>
        <w:numPr>
          <w:ilvl w:val="0"/>
          <w:numId w:val="6"/>
        </w:numPr>
        <w:pBdr/>
        <w:bidi w:val="0"/>
        <w:spacing w:before="0"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Созданию позитивной эмоциональной атмосферы.</w:t>
      </w:r>
    </w:p>
    <w:p>
      <w:pPr>
        <w:pStyle w:val="Style18"/>
        <w:widowControl/>
        <w:numPr>
          <w:ilvl w:val="0"/>
          <w:numId w:val="6"/>
        </w:numPr>
        <w:pBdr/>
        <w:bidi w:val="0"/>
        <w:spacing w:before="0"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Поощрению творческой инициативы.</w:t>
      </w:r>
    </w:p>
    <w:p>
      <w:pPr>
        <w:pStyle w:val="Style18"/>
        <w:widowControl/>
        <w:numPr>
          <w:ilvl w:val="0"/>
          <w:numId w:val="6"/>
        </w:numPr>
        <w:pBdr/>
        <w:bidi w:val="0"/>
        <w:spacing w:before="0"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Организации совместных мероприятий</w:t>
      </w:r>
    </w:p>
    <w:p>
      <w:pPr>
        <w:pStyle w:val="Style18"/>
        <w:widowControl/>
        <w:pBdr/>
        <w:bidi w:val="0"/>
        <w:spacing w:before="0" w:after="0"/>
        <w:ind w:start="0" w:end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Только при соблюдении всех этих условий возможно формирование настоящего творческого коллектива, способного достигать высоких результатов в художественной деятельности и обеспечивать полноценное развитие каждого участника.</w:t>
      </w:r>
    </w:p>
    <w:p>
      <w:pPr>
        <w:pStyle w:val="Normal"/>
        <w:bidi w:val="0"/>
        <w:ind w:start="-15" w:end="-8" w:firstLine="69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0"/>
        </w:tabs>
        <w:ind w:start="0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240"/>
        </w:tabs>
        <w:ind w:start="240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0"/>
        </w:tabs>
        <w:ind w:start="0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Маркеры"/>
    <w:qFormat/>
    <w:rPr>
      <w:rFonts w:ascii="OpenSymbol" w:hAnsi="OpenSymbol" w:eastAsia="OpenSymbol" w:cs="OpenSymbol"/>
    </w:rPr>
  </w:style>
  <w:style w:type="character" w:styleId="Style15">
    <w:name w:val="Символ нумерации"/>
    <w:qFormat/>
    <w:rPr/>
  </w:style>
  <w:style w:type="character" w:styleId="Style16">
    <w:name w:val="Strong"/>
    <w:qFormat/>
    <w:rPr>
      <w:b/>
      <w:bCs/>
    </w:rPr>
  </w:style>
  <w:style w:type="character" w:styleId="-">
    <w:name w:val="Hyperlink"/>
    <w:rPr>
      <w:color w:val="000080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LibreOffice/7.5.1.2$Windows_X86_64 LibreOffice_project/fcbaee479e84c6cd81291587d2ee68cba099e129</Application>
  <AppVersion>15.0000</AppVersion>
  <Pages>6</Pages>
  <Words>1381</Words>
  <Characters>11322</Characters>
  <CharactersWithSpaces>12668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2025-03-13T17:44:59Z</dcterms:created>
  <dc:creator/>
  <dc:description/>
  <dc:language>ru-RU</dc:language>
  <cp:lastModifiedBy/>
  <dcterms:modified xsi:type="dcterms:W3CDTF">2025-03-13T17:52:13Z</dcterms:modified>
  <cp:revision>2</cp:revision>
  <dc:subject/>
  <dc:title/>
</cp:coreProperties>
</file>