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C8C1B9">
      <w:pPr>
        <w:ind w:firstLine="0"/>
        <w:jc w:val="center"/>
        <w:rPr>
          <w:b/>
          <w:bCs/>
          <w:szCs w:val="28"/>
        </w:rPr>
      </w:pPr>
      <w:bookmarkStart w:id="0" w:name="_GoBack"/>
      <w:bookmarkEnd w:id="0"/>
      <w:r>
        <w:rPr>
          <w:b/>
          <w:bCs/>
          <w:szCs w:val="28"/>
        </w:rPr>
        <w:t>НАСТАВНИЧЕСТВО В ПРОФЕССИОНАЛЬНОМ СТАНОВЛЕНИИ</w:t>
      </w:r>
    </w:p>
    <w:p w14:paraId="715F79B1">
      <w:pPr>
        <w:ind w:firstLine="0"/>
        <w:jc w:val="center"/>
        <w:rPr>
          <w:b/>
          <w:bCs/>
          <w:szCs w:val="28"/>
        </w:rPr>
      </w:pPr>
    </w:p>
    <w:p w14:paraId="0EDFADBB">
      <w:pPr>
        <w:rPr>
          <w:szCs w:val="28"/>
        </w:rPr>
      </w:pPr>
      <w:r>
        <w:rPr>
          <w:szCs w:val="28"/>
        </w:rPr>
        <w:t>Аннотация: Статья рассматривает роль наставничества в профессиональном становлении специалистов, акцентируя внимание на психологических аспектах и современных подходах. Описаны ключевые компоненты эффективного наставничества, такие как эмоциональная поддержка, обратная связь, развитие мягких навыков и профессиональная адаптация. Подчеркивается важность наставничества в условиях непрерывного обучения и динамичных изменений в профессиональной среде.</w:t>
      </w:r>
    </w:p>
    <w:p w14:paraId="36188C7E">
      <w:pPr>
        <w:rPr>
          <w:szCs w:val="28"/>
        </w:rPr>
      </w:pPr>
    </w:p>
    <w:p w14:paraId="1C99C1D3">
      <w:pPr>
        <w:rPr>
          <w:szCs w:val="28"/>
        </w:rPr>
      </w:pPr>
      <w:r>
        <w:rPr>
          <w:szCs w:val="28"/>
        </w:rPr>
        <w:t>Ключевые слова: наставничество, профессиональное становление, эмоциональная поддержка, обратная связь, мягкие навыки, профессиональная адаптация, непрерывное обучение.</w:t>
      </w:r>
    </w:p>
    <w:p w14:paraId="4488E24B">
      <w:pPr>
        <w:rPr>
          <w:szCs w:val="28"/>
        </w:rPr>
      </w:pPr>
    </w:p>
    <w:p w14:paraId="308F9AFC">
      <w:pPr>
        <w:rPr>
          <w:szCs w:val="28"/>
        </w:rPr>
      </w:pPr>
      <w:r>
        <w:rPr>
          <w:szCs w:val="28"/>
        </w:rPr>
        <w:t xml:space="preserve">Профессиональное становление является фундаментальным процессом в жизни каждого специалиста. В нашем постоянно изменяющемся мире, где новые технологии, навыки и знания обновляются с удивительной скоростью, наставничество приобретает особенно важное значение. Наставничество – это взаимоотношение, которое может существенно повлиять на профессиональный путь человека, предоставляя не только знания и умения, но и поддерживая его психологическое состояние и личностное развитие. </w:t>
      </w:r>
    </w:p>
    <w:p w14:paraId="10397B02">
      <w:pPr>
        <w:rPr>
          <w:szCs w:val="28"/>
        </w:rPr>
      </w:pPr>
      <w:r>
        <w:rPr>
          <w:szCs w:val="28"/>
        </w:rPr>
        <w:t>Процесс наставничества имеет глубокие корни в психологическом взаимодействии между наставником и учеником. Психологический климат, создаваемый наставником, имеет непосредственное воздействие на мотивацию, самооценку и профессиональное самоопределение подопечного. Эффективное наставничество строится на принципах доверия, уважения и взаимопонимания, что способствует формированию положительного образа собственной профессиональной идентичности [4].</w:t>
      </w:r>
    </w:p>
    <w:p w14:paraId="0830BDD1">
      <w:pPr>
        <w:rPr>
          <w:szCs w:val="28"/>
        </w:rPr>
      </w:pPr>
      <w:r>
        <w:rPr>
          <w:szCs w:val="28"/>
        </w:rPr>
        <w:t>При оценке психологических аспектов наставничества следует рассматривать несколько ключевых компонентов:</w:t>
      </w:r>
    </w:p>
    <w:p w14:paraId="50EEB658">
      <w:pPr>
        <w:numPr>
          <w:ilvl w:val="0"/>
          <w:numId w:val="2"/>
        </w:numPr>
        <w:tabs>
          <w:tab w:val="left" w:pos="851"/>
          <w:tab w:val="clear" w:pos="720"/>
        </w:tabs>
        <w:ind w:left="0" w:firstLine="709"/>
        <w:rPr>
          <w:szCs w:val="28"/>
        </w:rPr>
      </w:pPr>
      <w:r>
        <w:rPr>
          <w:szCs w:val="28"/>
        </w:rPr>
        <w:t>Эмоциональная поддержка. Поощрение и эмпатия со стороны наставника создают благоприятную атмосферу для роста и принятия профессиональных вызовов, минимизируя стресс и предотвращая профессиональное выгорание.</w:t>
      </w:r>
    </w:p>
    <w:p w14:paraId="70D62961">
      <w:pPr>
        <w:numPr>
          <w:ilvl w:val="0"/>
          <w:numId w:val="2"/>
        </w:numPr>
        <w:tabs>
          <w:tab w:val="left" w:pos="851"/>
          <w:tab w:val="clear" w:pos="720"/>
        </w:tabs>
        <w:ind w:left="0" w:firstLine="709"/>
        <w:rPr>
          <w:szCs w:val="28"/>
        </w:rPr>
      </w:pPr>
      <w:r>
        <w:rPr>
          <w:szCs w:val="28"/>
        </w:rPr>
        <w:t>Обратная связь и развитие критического мышления. Регулярная конструктивная обратная связь от наставника задействует процесс саморефлексии и критического осознания собственных действий, что является ключом к постоянному профессиональному самосовершенствованию.</w:t>
      </w:r>
    </w:p>
    <w:p w14:paraId="62FE5F27">
      <w:pPr>
        <w:numPr>
          <w:ilvl w:val="0"/>
          <w:numId w:val="2"/>
        </w:numPr>
        <w:tabs>
          <w:tab w:val="left" w:pos="851"/>
          <w:tab w:val="clear" w:pos="720"/>
        </w:tabs>
        <w:ind w:left="0" w:firstLine="709"/>
        <w:rPr>
          <w:szCs w:val="28"/>
        </w:rPr>
      </w:pPr>
      <w:r>
        <w:rPr>
          <w:szCs w:val="28"/>
        </w:rPr>
        <w:t>Моделирование профессионального поведения. Наставник служит примером профессионального поведения и демонстрирует эффективные стратегии решения сложных задач. Это включает в себя понимание этики работы, умение работать в команде и развитие лидерских качеств.</w:t>
      </w:r>
    </w:p>
    <w:p w14:paraId="5395512E">
      <w:pPr>
        <w:numPr>
          <w:ilvl w:val="0"/>
          <w:numId w:val="2"/>
        </w:numPr>
        <w:tabs>
          <w:tab w:val="left" w:pos="851"/>
          <w:tab w:val="clear" w:pos="720"/>
        </w:tabs>
        <w:ind w:left="0" w:firstLine="709"/>
        <w:rPr>
          <w:szCs w:val="28"/>
        </w:rPr>
      </w:pPr>
      <w:r>
        <w:rPr>
          <w:szCs w:val="28"/>
        </w:rPr>
        <w:t>Поддержка в развитии карьеры. Наставник помогает повысить самосознание своих учеников в отношении их сильных сторон и областей потенциального роста, что необходимо для успешного планирования карьеры и принимая во внимание их личные цели и стремления.</w:t>
      </w:r>
    </w:p>
    <w:p w14:paraId="22582EC6">
      <w:pPr>
        <w:numPr>
          <w:ilvl w:val="0"/>
          <w:numId w:val="2"/>
        </w:numPr>
        <w:tabs>
          <w:tab w:val="left" w:pos="851"/>
          <w:tab w:val="clear" w:pos="720"/>
        </w:tabs>
        <w:ind w:left="0" w:firstLine="709"/>
        <w:rPr>
          <w:szCs w:val="28"/>
        </w:rPr>
      </w:pPr>
      <w:r>
        <w:rPr>
          <w:szCs w:val="28"/>
        </w:rPr>
        <w:t>Социализация в профессиональное сообщество. Наставник открывает двери в профессиональные сети и сообщества, создавая возможности для учеников установить профессиональные контакты и интегрироваться в соответствующую сферу деятельности.</w:t>
      </w:r>
    </w:p>
    <w:p w14:paraId="2C072C56">
      <w:pPr>
        <w:rPr>
          <w:szCs w:val="28"/>
        </w:rPr>
      </w:pPr>
      <w:r>
        <w:rPr>
          <w:szCs w:val="28"/>
        </w:rPr>
        <w:t>Актуализация этих психологических аспектов в наставничестве не только способствует развитию профессиональных компетенций, но и обеспечивает развитие личности в целом, что делает наставничество ключевым инструментом в процессе профессионального обучения и развития.</w:t>
      </w:r>
    </w:p>
    <w:p w14:paraId="7C84C27A">
      <w:pPr>
        <w:rPr>
          <w:szCs w:val="28"/>
        </w:rPr>
      </w:pPr>
      <w:r>
        <w:rPr>
          <w:szCs w:val="28"/>
        </w:rPr>
        <w:t>Приобретение профессиональных компетенций – основополагающая задача каждого специалиста, стремящегося к развитию и успеху в своей карьере. Наставничество играет здесь важнейшую роль, поскольку оно дает не только необходимые знания, но и контекст для их применения, а также методы и подходы, определяющие успешное выполнение профессиональной деятельности [1].</w:t>
      </w:r>
    </w:p>
    <w:p w14:paraId="0C25C752">
      <w:pPr>
        <w:numPr>
          <w:ilvl w:val="0"/>
          <w:numId w:val="3"/>
        </w:numPr>
        <w:tabs>
          <w:tab w:val="left" w:pos="851"/>
          <w:tab w:val="clear" w:pos="720"/>
        </w:tabs>
        <w:ind w:left="0" w:firstLine="709"/>
        <w:rPr>
          <w:szCs w:val="28"/>
        </w:rPr>
      </w:pPr>
      <w:r>
        <w:rPr>
          <w:szCs w:val="28"/>
        </w:rPr>
        <w:t>Непрерывное обучение и развитие навыков. Профессиональные знания быстро устаревают, и важно регулярно обновлять и расширять свой кругозор. Наставники делятся свежими данными о современных тенденциях, технологиях и методологиях в отрасли. Это позволяет подопечным оставаться конкурентоспособными на рынке труда.</w:t>
      </w:r>
    </w:p>
    <w:p w14:paraId="205C5827">
      <w:pPr>
        <w:numPr>
          <w:ilvl w:val="0"/>
          <w:numId w:val="3"/>
        </w:numPr>
        <w:tabs>
          <w:tab w:val="left" w:pos="851"/>
          <w:tab w:val="clear" w:pos="720"/>
        </w:tabs>
        <w:ind w:left="0" w:firstLine="709"/>
        <w:rPr>
          <w:szCs w:val="28"/>
        </w:rPr>
      </w:pPr>
      <w:r>
        <w:rPr>
          <w:szCs w:val="28"/>
        </w:rPr>
        <w:t>Практический опыт и мастерство. Книги и теоретические занятия несут в себе огромную ценность, но на практике возникают специфические ситуации, требующие глубинных навыков и гибкости мышления. Наставники обеспечивают передачу тонкостей практических приемов работы, что ведет к овладению высоким уровнем профессионального мастерства.</w:t>
      </w:r>
    </w:p>
    <w:p w14:paraId="11AE8EF6">
      <w:pPr>
        <w:numPr>
          <w:ilvl w:val="0"/>
          <w:numId w:val="3"/>
        </w:numPr>
        <w:tabs>
          <w:tab w:val="left" w:pos="851"/>
          <w:tab w:val="clear" w:pos="720"/>
        </w:tabs>
        <w:ind w:left="0" w:firstLine="709"/>
        <w:rPr>
          <w:szCs w:val="28"/>
        </w:rPr>
      </w:pPr>
      <w:r>
        <w:rPr>
          <w:szCs w:val="28"/>
        </w:rPr>
        <w:t>Развитие мягких навыков. Часто недооцениваемые, мягкие навыки, такие как коммуникативные способности, умение работать в команде, решение конфликтов и лидерские качества, имеют решающее значение для успешной карьеры. Наставничество способствует развитию этих навыков путем моделирования, обсуждения и отражения в процессе взаимодействия с наставником.</w:t>
      </w:r>
    </w:p>
    <w:p w14:paraId="70AF2F15">
      <w:pPr>
        <w:numPr>
          <w:ilvl w:val="0"/>
          <w:numId w:val="3"/>
        </w:numPr>
        <w:tabs>
          <w:tab w:val="left" w:pos="851"/>
          <w:tab w:val="clear" w:pos="720"/>
        </w:tabs>
        <w:ind w:left="0" w:firstLine="709"/>
        <w:rPr>
          <w:szCs w:val="28"/>
        </w:rPr>
      </w:pPr>
      <w:r>
        <w:rPr>
          <w:szCs w:val="28"/>
        </w:rPr>
        <w:t>Контекстуальное обучение и решение проблем. Наставничество предоставляет уникальную возможность учиться в контексте реальной работной обстановки, что значительно увеличивает понимание связей между различными аспектами работы и улучшает способности к решению сложных проблем.</w:t>
      </w:r>
    </w:p>
    <w:p w14:paraId="0BAE2FEB">
      <w:pPr>
        <w:numPr>
          <w:ilvl w:val="0"/>
          <w:numId w:val="3"/>
        </w:numPr>
        <w:tabs>
          <w:tab w:val="left" w:pos="851"/>
          <w:tab w:val="clear" w:pos="720"/>
        </w:tabs>
        <w:ind w:left="0" w:firstLine="709"/>
        <w:rPr>
          <w:szCs w:val="28"/>
        </w:rPr>
      </w:pPr>
      <w:r>
        <w:rPr>
          <w:szCs w:val="28"/>
        </w:rPr>
        <w:t>Профессиональная адаптация и валидация. Наставничество помогает новичкам адаптироваться в новой роли и ускоряет процесс профессиональной валидации – признания со стороны коллег и руководства. Это особенно важно на первых этапах карьеры или при переходе на новую позицию.</w:t>
      </w:r>
    </w:p>
    <w:p w14:paraId="34710471">
      <w:pPr>
        <w:numPr>
          <w:ilvl w:val="0"/>
          <w:numId w:val="3"/>
        </w:numPr>
        <w:tabs>
          <w:tab w:val="left" w:pos="851"/>
          <w:tab w:val="clear" w:pos="720"/>
        </w:tabs>
        <w:ind w:left="0" w:firstLine="709"/>
        <w:rPr>
          <w:szCs w:val="28"/>
        </w:rPr>
      </w:pPr>
      <w:r>
        <w:rPr>
          <w:szCs w:val="28"/>
        </w:rPr>
        <w:t>Сетевое взаимодействие и профессиональное наставление. Наставники могут служить в качестве связующего звена, помогая подопечным завязывать профессиональные контакты и интегрироваться в соответствующие профессиональные сообщества.</w:t>
      </w:r>
    </w:p>
    <w:p w14:paraId="6EC4341F">
      <w:pPr>
        <w:rPr>
          <w:szCs w:val="28"/>
        </w:rPr>
      </w:pPr>
      <w:r>
        <w:rPr>
          <w:szCs w:val="28"/>
        </w:rPr>
        <w:t>Таким образом, наставничество глубоко взаимодействует с процессом приобретения профессиональных компетенций, обеспечивая поддержку и наставление в формировании специалиста, способного к успешной и эффективной работе в выбранной сфере.</w:t>
      </w:r>
    </w:p>
    <w:p w14:paraId="3084BBC8">
      <w:pPr>
        <w:rPr>
          <w:szCs w:val="28"/>
        </w:rPr>
      </w:pPr>
      <w:r>
        <w:rPr>
          <w:szCs w:val="28"/>
        </w:rPr>
        <w:t>Современный мир характеризуется высокими темпами изменений, что предъявляет новые требования к процессу обучения и развития личности на протяжении всей жизни. Жизненное обучение (lifelong learning) подразумевает непрерывное образование и саморазвитие, вовлекая индивида в процесс постоянного приобретения новых знаний и умений. Современные подходы к наставничеству призваны учитывать эту парадигму и поддерживать учащихся в их стремлении к непрерывному профессиональному и личностному росту [3].</w:t>
      </w:r>
    </w:p>
    <w:p w14:paraId="6F24BFB2">
      <w:pPr>
        <w:numPr>
          <w:ilvl w:val="0"/>
          <w:numId w:val="4"/>
        </w:numPr>
        <w:tabs>
          <w:tab w:val="left" w:pos="851"/>
          <w:tab w:val="clear" w:pos="720"/>
        </w:tabs>
        <w:ind w:left="0" w:firstLine="709"/>
        <w:rPr>
          <w:szCs w:val="28"/>
        </w:rPr>
      </w:pPr>
      <w:r>
        <w:rPr>
          <w:szCs w:val="28"/>
        </w:rPr>
        <w:t>Менторинг вместо традиционного наставничества. В отличие от классического наставничества, где наставник часто выступает в роли более опытного учителя, ментор работает как партнер, стимулируя размышления и самоанализ. Это делает процесс более гибким и адаптируемым к индивидуальным потребностям обучающегося.</w:t>
      </w:r>
    </w:p>
    <w:p w14:paraId="6FDAF9E9">
      <w:pPr>
        <w:numPr>
          <w:ilvl w:val="0"/>
          <w:numId w:val="4"/>
        </w:numPr>
        <w:tabs>
          <w:tab w:val="left" w:pos="851"/>
          <w:tab w:val="clear" w:pos="720"/>
        </w:tabs>
        <w:ind w:left="0" w:firstLine="709"/>
        <w:rPr>
          <w:szCs w:val="28"/>
        </w:rPr>
      </w:pPr>
      <w:r>
        <w:rPr>
          <w:szCs w:val="28"/>
        </w:rPr>
        <w:t>Электронные и цифровые платформы для наставничества. Применение информационных технологий позволяет наставникам и ученикам оставаться на связи, несмотря на физическое расстояние. Онлайн-ресурсы и инструменты обеспечивают доступ к актуальной информации, обучающим курсам и платформам для общения.</w:t>
      </w:r>
    </w:p>
    <w:p w14:paraId="3EB24F5D">
      <w:pPr>
        <w:numPr>
          <w:ilvl w:val="0"/>
          <w:numId w:val="4"/>
        </w:numPr>
        <w:tabs>
          <w:tab w:val="left" w:pos="851"/>
          <w:tab w:val="clear" w:pos="720"/>
        </w:tabs>
        <w:ind w:left="0" w:firstLine="709"/>
        <w:rPr>
          <w:szCs w:val="28"/>
        </w:rPr>
      </w:pPr>
      <w:r>
        <w:rPr>
          <w:szCs w:val="28"/>
        </w:rPr>
        <w:t>Групповой менторинг и коучинг. В групповых наставнических программах учащиеся могут получить пользу от обмена опытом с другими членами консультативной группы, а также от советов ментора. Это позволяет создать коллаборативную среду обучения и способствует развитию коммуникативных навыков и работы в команде.</w:t>
      </w:r>
    </w:p>
    <w:p w14:paraId="599B7607">
      <w:pPr>
        <w:numPr>
          <w:ilvl w:val="0"/>
          <w:numId w:val="4"/>
        </w:numPr>
        <w:tabs>
          <w:tab w:val="left" w:pos="851"/>
          <w:tab w:val="clear" w:pos="720"/>
        </w:tabs>
        <w:ind w:left="0" w:firstLine="709"/>
        <w:rPr>
          <w:szCs w:val="28"/>
        </w:rPr>
      </w:pPr>
      <w:r>
        <w:rPr>
          <w:szCs w:val="28"/>
        </w:rPr>
        <w:t>Перекрёстное наставничество. В этом подходе наставничества участникам предлагаются возможности для взаимного обучения; более опытные сотрудники могут помочь новичкам, в то время как новички могут поделиться свежей перспективой и знанием современных трендов.</w:t>
      </w:r>
    </w:p>
    <w:p w14:paraId="3C0BE32E">
      <w:pPr>
        <w:numPr>
          <w:ilvl w:val="0"/>
          <w:numId w:val="4"/>
        </w:numPr>
        <w:tabs>
          <w:tab w:val="left" w:pos="851"/>
          <w:tab w:val="clear" w:pos="720"/>
        </w:tabs>
        <w:ind w:left="0" w:firstLine="709"/>
        <w:rPr>
          <w:szCs w:val="28"/>
        </w:rPr>
      </w:pPr>
      <w:r>
        <w:rPr>
          <w:szCs w:val="28"/>
        </w:rPr>
        <w:t>Культура обратной связи. Создание культуры, в которой конструктивная критика и открытое общение являются нормой, является важным аспектом современного наставничества. Регулярная обратная связь помогает учащимся осознать свои ошибки и достижения в реальном времени и способствует более быстрому профессиональному росту.</w:t>
      </w:r>
    </w:p>
    <w:p w14:paraId="2F17201F">
      <w:pPr>
        <w:numPr>
          <w:ilvl w:val="0"/>
          <w:numId w:val="4"/>
        </w:numPr>
        <w:tabs>
          <w:tab w:val="left" w:pos="851"/>
          <w:tab w:val="clear" w:pos="720"/>
        </w:tabs>
        <w:ind w:left="0" w:firstLine="709"/>
        <w:rPr>
          <w:szCs w:val="28"/>
        </w:rPr>
      </w:pPr>
      <w:r>
        <w:rPr>
          <w:szCs w:val="28"/>
        </w:rPr>
        <w:t>Личностное развитие и самосознание. Современные подходы к наставничеству уделяют пристальное внимание развитию не только профессиональных, но и личных качеств, таких как эмоциональный интеллект, уверенность в себе и принятие критики.</w:t>
      </w:r>
    </w:p>
    <w:p w14:paraId="1C83C0DD">
      <w:pPr>
        <w:rPr>
          <w:szCs w:val="28"/>
        </w:rPr>
      </w:pPr>
      <w:r>
        <w:rPr>
          <w:szCs w:val="28"/>
        </w:rPr>
        <w:t>Наставничество в профессиональном и личностном развитии личности не теряет своей важности, а с ростом динамики изменений в мире становится даже более значимым. Современные подходы и практики наставничества направлены на то, чтобы обеспечить адаптацию и постоянное развитие специалистов в условиях жизненного обучения. Гибкость, доступность новых технологий, взаимоуважение и поддержка личностного роста – ключевые факторы, определяющие успех наставничества в современный эпохе. Создание поддерживающей наставнической среды позволяет формировать высококвалифицированные и мотивированные профессиональные сообщества, способствующие не только карьерному росту, но и личной самореализации.</w:t>
      </w:r>
    </w:p>
    <w:p w14:paraId="7AEEE26A">
      <w:pPr>
        <w:rPr>
          <w:szCs w:val="28"/>
        </w:rPr>
      </w:pPr>
    </w:p>
    <w:p w14:paraId="3C769C7E">
      <w:pPr>
        <w:rPr>
          <w:szCs w:val="28"/>
        </w:rPr>
      </w:pPr>
    </w:p>
    <w:p w14:paraId="16E2846E">
      <w:pPr>
        <w:ind w:firstLine="0"/>
        <w:jc w:val="center"/>
        <w:rPr>
          <w:szCs w:val="28"/>
        </w:rPr>
      </w:pPr>
      <w:r>
        <w:rPr>
          <w:szCs w:val="28"/>
        </w:rPr>
        <w:t>Список литературы</w:t>
      </w:r>
    </w:p>
    <w:p w14:paraId="3C224D42">
      <w:pPr>
        <w:rPr>
          <w:szCs w:val="28"/>
        </w:rPr>
      </w:pPr>
    </w:p>
    <w:p w14:paraId="4D1F3A4C">
      <w:pPr>
        <w:pStyle w:val="15"/>
        <w:numPr>
          <w:ilvl w:val="0"/>
          <w:numId w:val="5"/>
        </w:numPr>
        <w:tabs>
          <w:tab w:val="left" w:pos="1134"/>
        </w:tabs>
        <w:ind w:left="0" w:firstLine="709"/>
        <w:rPr>
          <w:szCs w:val="28"/>
          <w:lang w:eastAsia="ru-RU"/>
        </w:rPr>
      </w:pPr>
      <w:r>
        <w:rPr>
          <w:szCs w:val="28"/>
          <w:lang w:eastAsia="ru-RU"/>
        </w:rPr>
        <w:t>Барбаровская М.Н. Сущность процесса управления персоналом на современном этапе //Основы экономики, управления и права. 2021. № 4. С. 34.</w:t>
      </w:r>
    </w:p>
    <w:p w14:paraId="15AC37BF">
      <w:pPr>
        <w:pStyle w:val="15"/>
        <w:numPr>
          <w:ilvl w:val="0"/>
          <w:numId w:val="5"/>
        </w:numPr>
        <w:tabs>
          <w:tab w:val="left" w:pos="1134"/>
        </w:tabs>
        <w:ind w:left="0" w:firstLine="709"/>
        <w:rPr>
          <w:szCs w:val="28"/>
        </w:rPr>
      </w:pPr>
      <w:r>
        <w:rPr>
          <w:szCs w:val="28"/>
        </w:rPr>
        <w:t xml:space="preserve">Воробьева, Е. В. Сравнительный анализ коучинга и наставничества персонала организации, их характеристики // Молодой ученый. 2020. № 12 (116). С. 1196. </w:t>
      </w:r>
    </w:p>
    <w:p w14:paraId="251257E8">
      <w:pPr>
        <w:pStyle w:val="15"/>
        <w:numPr>
          <w:ilvl w:val="0"/>
          <w:numId w:val="5"/>
        </w:numPr>
        <w:tabs>
          <w:tab w:val="left" w:pos="1134"/>
        </w:tabs>
        <w:ind w:left="0" w:firstLine="709"/>
        <w:rPr>
          <w:szCs w:val="28"/>
        </w:rPr>
      </w:pPr>
      <w:r>
        <w:rPr>
          <w:szCs w:val="28"/>
        </w:rPr>
        <w:t>Исаева О.М. Управление человеческими ресурсами: учебник и практикум / О.М. Исаева, Е.А. Припорова. – М.: Юрайт, 2022. 246 с.</w:t>
      </w:r>
    </w:p>
    <w:p w14:paraId="03F07B7C">
      <w:pPr>
        <w:pStyle w:val="15"/>
        <w:numPr>
          <w:ilvl w:val="0"/>
          <w:numId w:val="5"/>
        </w:numPr>
        <w:tabs>
          <w:tab w:val="left" w:pos="1134"/>
        </w:tabs>
        <w:ind w:left="0" w:firstLine="709"/>
        <w:rPr>
          <w:szCs w:val="28"/>
        </w:rPr>
      </w:pPr>
      <w:r>
        <w:rPr>
          <w:szCs w:val="28"/>
        </w:rPr>
        <w:t>Особенности использования высоких технологий в системе управления современными бизнес-процессами Никитин Р.В., Комарова О.М. В сборнике: Инновационное развитие социально-экономических систем: условия, результаты и возможности. Материалы IX Международной научнопрактической конференции. Орехово-Зуево, 2021. С. 65-70.</w:t>
      </w:r>
    </w:p>
    <w:p w14:paraId="228A973B">
      <w:pPr>
        <w:pStyle w:val="15"/>
        <w:numPr>
          <w:ilvl w:val="0"/>
          <w:numId w:val="5"/>
        </w:numPr>
        <w:tabs>
          <w:tab w:val="left" w:pos="1134"/>
        </w:tabs>
        <w:ind w:left="0" w:firstLine="709"/>
        <w:rPr>
          <w:szCs w:val="28"/>
        </w:rPr>
      </w:pPr>
      <w:r>
        <w:rPr>
          <w:szCs w:val="28"/>
        </w:rPr>
        <w:t>Современные проблемы адаптации молодых специалистов в организациях Саенко И.И., Свиридова Д.А. В сборнике: Образование. наука. карьера. сборник научных статей 4-й Международной научно-методической конференции. Курск, 2021. С. 160-162.</w:t>
      </w:r>
    </w:p>
    <w:sectPr>
      <w:pgSz w:w="11906" w:h="16838"/>
      <w:pgMar w:top="1134" w:right="1134" w:bottom="1134" w:left="1134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</w:pPr>
      <w:r>
        <w:separator/>
      </w:r>
    </w:p>
  </w:footnote>
  <w:footnote w:type="continuationSeparator" w:id="1">
    <w:p>
      <w:pPr>
        <w:spacing w:before="0" w:after="0"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3992B04"/>
    <w:multiLevelType w:val="multilevel"/>
    <w:tmpl w:val="33992B0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46F14771"/>
    <w:multiLevelType w:val="multilevel"/>
    <w:tmpl w:val="46F1477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59ED198B"/>
    <w:multiLevelType w:val="multilevel"/>
    <w:tmpl w:val="59ED198B"/>
    <w:lvl w:ilvl="0" w:tentative="0">
      <w:start w:val="1"/>
      <w:numFmt w:val="decimal"/>
      <w:lvlText w:val="%1."/>
      <w:lvlJc w:val="left"/>
      <w:pPr>
        <w:ind w:left="1429" w:hanging="360"/>
      </w:pPr>
    </w:lvl>
    <w:lvl w:ilvl="1" w:tentative="0">
      <w:start w:val="1"/>
      <w:numFmt w:val="lowerLetter"/>
      <w:lvlText w:val="%2."/>
      <w:lvlJc w:val="left"/>
      <w:pPr>
        <w:ind w:left="2149" w:hanging="360"/>
      </w:pPr>
    </w:lvl>
    <w:lvl w:ilvl="2" w:tentative="0">
      <w:start w:val="1"/>
      <w:numFmt w:val="lowerRoman"/>
      <w:lvlText w:val="%3."/>
      <w:lvlJc w:val="right"/>
      <w:pPr>
        <w:ind w:left="2869" w:hanging="180"/>
      </w:pPr>
    </w:lvl>
    <w:lvl w:ilvl="3" w:tentative="0">
      <w:start w:val="1"/>
      <w:numFmt w:val="decimal"/>
      <w:lvlText w:val="%4."/>
      <w:lvlJc w:val="left"/>
      <w:pPr>
        <w:ind w:left="3589" w:hanging="360"/>
      </w:pPr>
    </w:lvl>
    <w:lvl w:ilvl="4" w:tentative="0">
      <w:start w:val="1"/>
      <w:numFmt w:val="lowerLetter"/>
      <w:lvlText w:val="%5."/>
      <w:lvlJc w:val="left"/>
      <w:pPr>
        <w:ind w:left="4309" w:hanging="360"/>
      </w:pPr>
    </w:lvl>
    <w:lvl w:ilvl="5" w:tentative="0">
      <w:start w:val="1"/>
      <w:numFmt w:val="lowerRoman"/>
      <w:lvlText w:val="%6."/>
      <w:lvlJc w:val="right"/>
      <w:pPr>
        <w:ind w:left="5029" w:hanging="180"/>
      </w:pPr>
    </w:lvl>
    <w:lvl w:ilvl="6" w:tentative="0">
      <w:start w:val="1"/>
      <w:numFmt w:val="decimal"/>
      <w:lvlText w:val="%7."/>
      <w:lvlJc w:val="left"/>
      <w:pPr>
        <w:ind w:left="5749" w:hanging="360"/>
      </w:pPr>
    </w:lvl>
    <w:lvl w:ilvl="7" w:tentative="0">
      <w:start w:val="1"/>
      <w:numFmt w:val="lowerLetter"/>
      <w:lvlText w:val="%8."/>
      <w:lvlJc w:val="left"/>
      <w:pPr>
        <w:ind w:left="6469" w:hanging="360"/>
      </w:pPr>
    </w:lvl>
    <w:lvl w:ilvl="8" w:tentative="0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653B44AB"/>
    <w:multiLevelType w:val="multilevel"/>
    <w:tmpl w:val="653B44AB"/>
    <w:lvl w:ilvl="0" w:tentative="0">
      <w:start w:val="1"/>
      <w:numFmt w:val="bullet"/>
      <w:pStyle w:val="13"/>
      <w:lvlText w:val=""/>
      <w:lvlJc w:val="left"/>
      <w:pPr>
        <w:ind w:left="1429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4">
    <w:nsid w:val="6CE96E67"/>
    <w:multiLevelType w:val="multilevel"/>
    <w:tmpl w:val="6CE96E6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096"/>
    <w:rsid w:val="00023836"/>
    <w:rsid w:val="000526E1"/>
    <w:rsid w:val="000E55E2"/>
    <w:rsid w:val="000F0EBB"/>
    <w:rsid w:val="001336B7"/>
    <w:rsid w:val="001713E6"/>
    <w:rsid w:val="001B6F2D"/>
    <w:rsid w:val="003830B7"/>
    <w:rsid w:val="00383F4E"/>
    <w:rsid w:val="00386DC5"/>
    <w:rsid w:val="003E2CA7"/>
    <w:rsid w:val="00400BB2"/>
    <w:rsid w:val="00434BF5"/>
    <w:rsid w:val="0045488B"/>
    <w:rsid w:val="00465317"/>
    <w:rsid w:val="004756CC"/>
    <w:rsid w:val="00545A19"/>
    <w:rsid w:val="005462DC"/>
    <w:rsid w:val="00546976"/>
    <w:rsid w:val="00577435"/>
    <w:rsid w:val="005918BA"/>
    <w:rsid w:val="005E710B"/>
    <w:rsid w:val="006745EF"/>
    <w:rsid w:val="00760939"/>
    <w:rsid w:val="00797908"/>
    <w:rsid w:val="007A26EC"/>
    <w:rsid w:val="007B2062"/>
    <w:rsid w:val="00827C41"/>
    <w:rsid w:val="008A3096"/>
    <w:rsid w:val="008D097A"/>
    <w:rsid w:val="00A01681"/>
    <w:rsid w:val="00A57FEB"/>
    <w:rsid w:val="00C02BE6"/>
    <w:rsid w:val="00CD7432"/>
    <w:rsid w:val="00CF2172"/>
    <w:rsid w:val="00D954ED"/>
    <w:rsid w:val="00E3486F"/>
    <w:rsid w:val="00E5505F"/>
    <w:rsid w:val="00F95DFE"/>
    <w:rsid w:val="00FB3B47"/>
    <w:rsid w:val="520B1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360" w:lineRule="auto"/>
      <w:ind w:firstLine="709"/>
      <w:jc w:val="both"/>
    </w:pPr>
    <w:rPr>
      <w:rFonts w:ascii="Times New Roman" w:hAnsi="Times New Roman" w:eastAsiaTheme="minorHAnsi" w:cstheme="minorBidi"/>
      <w:kern w:val="0"/>
      <w:sz w:val="28"/>
      <w:szCs w:val="22"/>
      <w:lang w:val="ru-RU" w:eastAsia="en-US" w:bidi="ar-SA"/>
      <w14:ligatures w14:val="none"/>
    </w:rPr>
  </w:style>
  <w:style w:type="paragraph" w:styleId="2">
    <w:name w:val="heading 1"/>
    <w:basedOn w:val="1"/>
    <w:next w:val="1"/>
    <w:link w:val="10"/>
    <w:uiPriority w:val="9"/>
    <w:pPr>
      <w:keepNext/>
      <w:keepLines/>
      <w:outlineLvl w:val="0"/>
    </w:pPr>
    <w:rPr>
      <w:rFonts w:eastAsiaTheme="majorEastAsia" w:cstheme="majorBidi"/>
      <w:caps/>
      <w:szCs w:val="32"/>
    </w:rPr>
  </w:style>
  <w:style w:type="paragraph" w:styleId="3">
    <w:name w:val="heading 2"/>
    <w:basedOn w:val="1"/>
    <w:next w:val="1"/>
    <w:link w:val="9"/>
    <w:semiHidden/>
    <w:unhideWhenUsed/>
    <w:qFormat/>
    <w:uiPriority w:val="9"/>
    <w:pPr>
      <w:keepNext/>
      <w:keepLines/>
      <w:outlineLvl w:val="1"/>
    </w:pPr>
    <w:rPr>
      <w:rFonts w:eastAsiaTheme="majorEastAsia" w:cstheme="majorBidi"/>
      <w:szCs w:val="26"/>
    </w:rPr>
  </w:style>
  <w:style w:type="paragraph" w:styleId="4">
    <w:name w:val="heading 3"/>
    <w:basedOn w:val="1"/>
    <w:next w:val="1"/>
    <w:link w:val="12"/>
    <w:unhideWhenUsed/>
    <w:qFormat/>
    <w:uiPriority w:val="9"/>
    <w:pPr>
      <w:keepNext/>
      <w:keepLines/>
      <w:outlineLvl w:val="2"/>
    </w:pPr>
    <w:rPr>
      <w:rFonts w:eastAsiaTheme="majorEastAsia" w:cstheme="majorBidi"/>
      <w:szCs w:val="24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header"/>
    <w:basedOn w:val="1"/>
    <w:link w:val="16"/>
    <w:unhideWhenUsed/>
    <w:uiPriority w:val="99"/>
    <w:pPr>
      <w:tabs>
        <w:tab w:val="center" w:pos="4677"/>
        <w:tab w:val="right" w:pos="9355"/>
      </w:tabs>
    </w:pPr>
  </w:style>
  <w:style w:type="paragraph" w:styleId="8">
    <w:name w:val="footer"/>
    <w:basedOn w:val="1"/>
    <w:link w:val="17"/>
    <w:unhideWhenUsed/>
    <w:uiPriority w:val="99"/>
    <w:pPr>
      <w:tabs>
        <w:tab w:val="center" w:pos="4677"/>
        <w:tab w:val="right" w:pos="9355"/>
      </w:tabs>
    </w:pPr>
  </w:style>
  <w:style w:type="character" w:customStyle="1" w:styleId="9">
    <w:name w:val="Заголовок 2 Знак"/>
    <w:basedOn w:val="5"/>
    <w:link w:val="3"/>
    <w:semiHidden/>
    <w:uiPriority w:val="9"/>
    <w:rPr>
      <w:rFonts w:ascii="Times New Roman" w:hAnsi="Times New Roman" w:eastAsiaTheme="majorEastAsia" w:cstheme="majorBidi"/>
      <w:sz w:val="28"/>
      <w:szCs w:val="26"/>
    </w:rPr>
  </w:style>
  <w:style w:type="character" w:customStyle="1" w:styleId="10">
    <w:name w:val="Заголовок 1 Знак"/>
    <w:basedOn w:val="5"/>
    <w:link w:val="2"/>
    <w:uiPriority w:val="9"/>
    <w:rPr>
      <w:rFonts w:ascii="Times New Roman" w:hAnsi="Times New Roman" w:eastAsiaTheme="majorEastAsia" w:cstheme="majorBidi"/>
      <w:caps/>
      <w:sz w:val="28"/>
      <w:szCs w:val="32"/>
    </w:rPr>
  </w:style>
  <w:style w:type="paragraph" w:customStyle="1" w:styleId="11">
    <w:name w:val="Табл12"/>
    <w:basedOn w:val="1"/>
    <w:qFormat/>
    <w:uiPriority w:val="0"/>
    <w:pPr>
      <w:ind w:firstLine="0"/>
    </w:pPr>
    <w:rPr>
      <w:rFonts w:eastAsia="Times New Roman" w:cs="Times New Roman"/>
      <w:color w:val="000000"/>
      <w:szCs w:val="28"/>
      <w:lang w:eastAsia="ru-RU"/>
    </w:rPr>
  </w:style>
  <w:style w:type="character" w:customStyle="1" w:styleId="12">
    <w:name w:val="Заголовок 3 Знак"/>
    <w:basedOn w:val="5"/>
    <w:link w:val="4"/>
    <w:uiPriority w:val="9"/>
    <w:rPr>
      <w:rFonts w:ascii="Times New Roman" w:hAnsi="Times New Roman" w:eastAsiaTheme="majorEastAsia" w:cstheme="majorBidi"/>
      <w:sz w:val="28"/>
      <w:szCs w:val="24"/>
    </w:rPr>
  </w:style>
  <w:style w:type="paragraph" w:customStyle="1" w:styleId="13">
    <w:name w:val="0_список_дефис"/>
    <w:basedOn w:val="1"/>
    <w:uiPriority w:val="0"/>
    <w:pPr>
      <w:numPr>
        <w:ilvl w:val="0"/>
        <w:numId w:val="1"/>
      </w:numPr>
      <w:ind w:left="0" w:firstLine="357"/>
    </w:pPr>
  </w:style>
  <w:style w:type="paragraph" w:customStyle="1" w:styleId="14">
    <w:name w:val="РисЦентр"/>
    <w:basedOn w:val="1"/>
    <w:qFormat/>
    <w:uiPriority w:val="0"/>
    <w:pPr>
      <w:ind w:firstLine="0"/>
      <w:jc w:val="center"/>
    </w:pPr>
  </w:style>
  <w:style w:type="paragraph" w:styleId="15">
    <w:name w:val="List Paragraph"/>
    <w:basedOn w:val="1"/>
    <w:qFormat/>
    <w:uiPriority w:val="34"/>
    <w:pPr>
      <w:ind w:left="720"/>
      <w:contextualSpacing/>
    </w:pPr>
  </w:style>
  <w:style w:type="character" w:customStyle="1" w:styleId="16">
    <w:name w:val="Верхний колонтитул Знак"/>
    <w:basedOn w:val="5"/>
    <w:link w:val="7"/>
    <w:uiPriority w:val="99"/>
    <w:rPr>
      <w:rFonts w:ascii="Times New Roman" w:hAnsi="Times New Roman"/>
      <w:kern w:val="0"/>
      <w:sz w:val="24"/>
      <w14:ligatures w14:val="none"/>
    </w:rPr>
  </w:style>
  <w:style w:type="character" w:customStyle="1" w:styleId="17">
    <w:name w:val="Нижний колонтитул Знак"/>
    <w:basedOn w:val="5"/>
    <w:link w:val="8"/>
    <w:uiPriority w:val="99"/>
    <w:rPr>
      <w:rFonts w:ascii="Times New Roman" w:hAnsi="Times New Roman"/>
      <w:kern w:val="0"/>
      <w:sz w:val="24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1408</Words>
  <Characters>8026</Characters>
  <Lines>66</Lines>
  <Paragraphs>18</Paragraphs>
  <TotalTime>15</TotalTime>
  <ScaleCrop>false</ScaleCrop>
  <LinksUpToDate>false</LinksUpToDate>
  <CharactersWithSpaces>9416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2024-10-28T12:44:00Z</dcterms:created>
  <dc:creator>Denis K</dc:creator>
  <cp:lastModifiedBy>Денис Колчин</cp:lastModifiedBy>
  <dcterms:modified xsi:type="dcterms:W3CDTF">2025-03-17T18:28:56Z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A69F891945CD46FD8FB705BA9E000960_13</vt:lpwstr>
  </property>
</Properties>
</file>