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 w14:paraId="00000013">
      <w:pPr>
        <w:jc w:val="center"/>
        <w:rPr>
          <w:b/>
        </w:rPr>
      </w:pPr>
      <w:r>
        <w:rPr>
          <w:b/>
        </w:rPr>
        <w:t>Психологические особенности учебной мотивации подростков, играющих в компьютерные игры</w:t>
      </w:r>
    </w:p>
    <w:p w14:paraId="00000014">
      <w:pPr>
        <w:spacing w:after="0" w:line="240" w:lineRule="auto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>Середа Дарья Дмитриевна</w:t>
      </w:r>
      <w:r>
        <w:rPr>
          <w:i/>
          <w:color w:val="000000" w:themeColor="text1"/>
        </w:rPr>
        <w:t>,</w:t>
      </w:r>
    </w:p>
    <w:p w14:paraId="00000015">
      <w:pPr>
        <w:spacing w:after="0" w:line="240" w:lineRule="auto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Студент 1 курса магистратуры ППО ИИЯ </w:t>
      </w:r>
    </w:p>
    <w:p w14:paraId="00000016">
      <w:pPr>
        <w:pStyle w:val="Standard"/>
        <w:jc w:val="right"/>
        <w:rPr>
          <w:i/>
          <w:color w:val="000000" w:themeColor="text1"/>
        </w:rPr>
      </w:pPr>
      <w:r>
        <w:rPr>
          <w:i/>
          <w:color w:val="000000" w:themeColor="text1"/>
        </w:rPr>
        <w:t xml:space="preserve">Российского Университета Дружбы Народа </w:t>
      </w:r>
    </w:p>
    <w:p w14:paraId="00000017">
      <w:pPr>
        <w:pStyle w:val="Standard"/>
        <w:bidi w:val="off"/>
        <w:ind w:firstLine="397"/>
        <w:jc w:val="right"/>
        <w:rPr>
          <w:rFonts w:ascii="Times New Roman" w:cs="Times New Roman" w:eastAsia="Times New Roman" w:hAnsi="Times New Roman"/>
          <w:i/>
          <w:color w:val="000000" w:themeColor="text1"/>
          <w:szCs w:val="28"/>
          <w:lang w:val="en-US"/>
        </w:rPr>
      </w:pPr>
      <w:r>
        <w:rPr>
          <w:rFonts w:ascii="Times New Roman" w:cs="Times New Roman" w:eastAsia="Times New Roman" w:hAnsi="Times New Roman"/>
          <w:b w:val="off"/>
          <w:bCs w:val="off"/>
          <w:i/>
          <w:color w:val="000000" w:themeColor="text1"/>
          <w:szCs w:val="28"/>
          <w:rtl w:val="off"/>
          <w:lang w:val="en-US"/>
        </w:rPr>
        <w:t>Караванова Людмила Жалаловна,</w:t>
      </w:r>
      <w:r>
        <w:rPr>
          <w:rFonts w:ascii="Times New Roman" w:cs="Times New Roman" w:eastAsia="Times New Roman" w:hAnsi="Times New Roman"/>
          <w:b/>
          <w:i/>
          <w:color w:val="000000" w:themeColor="text1"/>
          <w:szCs w:val="28"/>
          <w:rtl w:val="off"/>
          <w:lang w:val="en-US"/>
        </w:rPr>
        <w:t xml:space="preserve"> </w:t>
      </w:r>
      <w:r>
        <w:rPr>
          <w:rFonts w:ascii="Times New Roman" w:cs="Times New Roman" w:eastAsia="Times New Roman" w:hAnsi="Times New Roman"/>
          <w:i/>
          <w:color w:val="000000" w:themeColor="text1"/>
          <w:szCs w:val="28"/>
          <w:rtl w:val="off"/>
          <w:lang w:val="en-US"/>
        </w:rPr>
        <w:t>Доктор психологических наук,</w:t>
      </w:r>
      <w:r>
        <w:rPr>
          <w:rFonts w:ascii="Times New Roman" w:cs="Times New Roman" w:eastAsia="Times New Roman" w:hAnsi="Times New Roman"/>
          <w:i/>
          <w:color w:val="000000" w:themeColor="text1"/>
          <w:szCs w:val="28"/>
          <w:rtl w:val="off"/>
          <w:lang w:val="en-US"/>
        </w:rPr>
        <w:t>Профессор кафедры социальной педагогики, руководитель отделения «Психолого-педагогическое образование» Института иностранных языков Российского университета дружбы народов (ИИЯ РУДН)</w:t>
      </w:r>
      <w:r>
        <w:rPr>
          <w:rFonts w:ascii="Times New Roman" w:cs="Times New Roman" w:eastAsia="Times New Roman" w:hAnsi="Times New Roman"/>
          <w:i/>
          <w:color w:val="000000" w:themeColor="text1"/>
          <w:szCs w:val="28"/>
          <w:rtl w:val="off"/>
          <w:lang w:val="en-US"/>
        </w:rPr>
        <w:t xml:space="preserve"> </w:t>
      </w:r>
    </w:p>
    <w:p w14:paraId="00000018">
      <w:pPr>
        <w:pStyle w:val="Standard"/>
        <w:bidi w:val="off"/>
        <w:ind w:firstLine="397"/>
        <w:jc w:val="right"/>
        <w:rPr>
          <w:rFonts w:ascii="Times New Roman" w:cs="Times New Roman" w:eastAsia="Times New Roman" w:hAnsi="Times New Roman"/>
          <w:i/>
          <w:color w:val="000000" w:themeColor="text1"/>
          <w:szCs w:val="28"/>
          <w:lang w:val="en-US"/>
        </w:rPr>
      </w:pPr>
    </w:p>
    <w:p w14:paraId="00000019">
      <w:pPr>
        <w:spacing w:after="0" w:line="240" w:lineRule="auto"/>
        <w:ind w:left="2124" w:firstLine="708"/>
        <w:jc w:val="right"/>
        <w:rPr/>
      </w:pPr>
    </w:p>
    <w:p w14:paraId="0000001A">
      <w:pPr>
        <w:spacing w:after="0" w:line="240" w:lineRule="auto"/>
        <w:rPr/>
      </w:pPr>
    </w:p>
    <w:p w14:paraId="0000001B">
      <w:pPr>
        <w:pStyle w:val="Normal"/>
        <w:rPr/>
      </w:pPr>
      <w:r>
        <w:rPr>
          <w:b/>
          <w:i/>
        </w:rPr>
        <w:t>Аннотация</w:t>
      </w:r>
      <w:r>
        <w:t xml:space="preserve">. </w:t>
      </w:r>
      <w:r>
        <w:t>Статья посвящена</w:t>
      </w:r>
      <w:r>
        <w:t xml:space="preserve"> психологическим особенностям учебной мотивации подростков, играющих в компьютерные игры.</w:t>
      </w:r>
    </w:p>
    <w:p w14:paraId="0000001C">
      <w:pPr>
        <w:spacing w:after="0" w:line="240" w:lineRule="auto"/>
        <w:jc w:val="both"/>
        <w:rPr>
          <w:bCs/>
        </w:rPr>
      </w:pPr>
      <w:r>
        <w:rPr>
          <w:b/>
          <w:i/>
        </w:rPr>
        <w:t>Ключевые слова:</w:t>
      </w:r>
      <w:r>
        <w:rPr>
          <w:b/>
          <w:i/>
        </w:rPr>
        <w:t xml:space="preserve"> подростковый возраст, компьютерные игры, психика, учеба, мотивация.</w:t>
      </w:r>
    </w:p>
    <w:p w14:paraId="0000001D">
      <w:pPr>
        <w:spacing w:after="0" w:line="240" w:lineRule="auto"/>
        <w:jc w:val="both"/>
        <w:rPr>
          <w:bCs/>
        </w:rPr>
      </w:pPr>
    </w:p>
    <w:p w14:paraId="0000001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Подростковый возраст - это период бурного развития и перемен, которые затрагивают все сферы жизни ребенка. В этот период происходит формирование личности, самоопределение, поиск смысла жизни. Изменения в физическом и психическом развитии, а также социальные и психологические факторы могут приводить к снижению мотивации у подростков.</w:t>
      </w:r>
    </w:p>
    <w:p w14:paraId="0000001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В современном обществе компьютерные игры стали неотъемлемой частью жизни многих подростков. Они представляют собой не только развлекательный инструмент, но и средство коммуникации и самовыражения.</w:t>
      </w:r>
    </w:p>
    <w:p w14:paraId="0000002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Кроме того, компьютерные игры могут вызывать у подростков зависимость и злоупотребление свободным временем. Они могут становиться неконтролируемыми в своих игровых активностях, игнорируя другие важные аспекты жизни, включая учебу. Играм отводится все больше времени, что отрицательно влияет на мотивацию учиться и достигать академических успехов.</w:t>
      </w:r>
    </w:p>
    <w:p w14:paraId="0000002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Однако необходимо отметить, что не все подростки, играющие в компьютерные игры, испытывают проблемы с учебной мотивацией. Некоторые из них могут прекрасно совмещать учебу и время, проведенное за игрой. Ключевым фактором является баланс между игровыми и учебными процессами.</w:t>
      </w:r>
    </w:p>
    <w:p w14:paraId="0000002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Важно понимать, что мотивация учиться подростков, играющих в компьютерные игры, может быть разной и зависит от множества различных аспектов.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 Некоторые подростки могут находить в играх новые и интересные возможности для саморазвития, обучения и применения знаний. Игры могут стать источником вдохновения и мотивации для учебных достижений.</w:t>
      </w:r>
    </w:p>
    <w:p w14:paraId="0000002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Учебная мотивация определяется множеством факторов, как внутренних, так и внешних.</w:t>
      </w:r>
    </w:p>
    <w:p w14:paraId="0000002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b/>
          <w:bCs/>
          <w:color w:val="000000" w:themeColor="dk1"/>
          <w:sz w:val="28"/>
          <w:szCs w:val="28"/>
          <w:u w:val="none"/>
          <w:lang w:eastAsia="en-US"/>
        </w:rPr>
        <w:t>Внутренние факторы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 включают в себя:</w:t>
      </w:r>
    </w:p>
    <w:p w14:paraId="00000025">
      <w:pPr>
        <w:framePr w:w="0" w:h="0" w:vAnchor="margin" w:hAnchor="text" w:x="0" w:y="0"/>
        <w:numPr>
          <w:ilvl w:val="0"/>
          <w:numId w:val="1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i/>
          <w:iCs/>
          <w:color w:val="000000" w:themeColor="dk1"/>
          <w:sz w:val="28"/>
          <w:szCs w:val="28"/>
          <w:u w:val="none"/>
          <w:lang w:eastAsia="en-US"/>
        </w:rPr>
        <w:t>Индивидуальные особенности личности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, такие как познавательные способности, интересы, ценностные ориентации, самооценка;</w:t>
      </w:r>
    </w:p>
    <w:p w14:paraId="00000026">
      <w:pPr>
        <w:framePr w:w="0" w:h="0" w:vAnchor="margin" w:hAnchor="text" w:x="0" w:y="0"/>
        <w:numPr>
          <w:ilvl w:val="0"/>
          <w:numId w:val="1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i/>
          <w:iCs/>
          <w:color w:val="000000" w:themeColor="dk1"/>
          <w:sz w:val="28"/>
          <w:szCs w:val="28"/>
          <w:u w:val="none"/>
          <w:lang w:eastAsia="en-US"/>
        </w:rPr>
        <w:t>Личностные мотивы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, такие как стремление к саморазвитию, самоутверждению, самореализации;</w:t>
      </w:r>
    </w:p>
    <w:p w14:paraId="0000002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b/>
          <w:color w:val="000000" w:themeColor="dk1"/>
          <w:sz w:val="28"/>
          <w:szCs w:val="28"/>
          <w:u w:val="none"/>
          <w:lang w:eastAsia="en-US"/>
        </w:rPr>
        <w:t>Внешние фактор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ы включают в себя:</w:t>
      </w:r>
    </w:p>
    <w:p w14:paraId="00000028">
      <w:pPr>
        <w:framePr w:w="0" w:h="0" w:vAnchor="margin" w:hAnchor="text" w:x="0" w:y="0"/>
        <w:numPr>
          <w:ilvl w:val="0"/>
          <w:numId w:val="1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i/>
          <w:iCs/>
          <w:color w:val="000000" w:themeColor="dk1"/>
          <w:sz w:val="28"/>
          <w:szCs w:val="28"/>
          <w:u w:val="none"/>
          <w:lang w:eastAsia="en-US"/>
        </w:rPr>
        <w:t>Условия обучения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, такие как качество образования, методы обучения, отношения в коллективе;</w:t>
      </w:r>
    </w:p>
    <w:p w14:paraId="00000029">
      <w:pPr>
        <w:framePr w:w="0" w:h="0" w:vAnchor="margin" w:hAnchor="text" w:x="0" w:y="0"/>
        <w:numPr>
          <w:ilvl w:val="0"/>
          <w:numId w:val="11"/>
        </w:numPr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i/>
          <w:iCs/>
          <w:color w:val="000000" w:themeColor="dk1"/>
          <w:sz w:val="28"/>
          <w:szCs w:val="28"/>
          <w:u w:val="none"/>
          <w:lang w:eastAsia="en-US"/>
        </w:rPr>
        <w:t>Требования и ожидания значимых других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, таких как родители, учителя, сверстники .</w:t>
      </w:r>
    </w:p>
    <w:p w14:paraId="0000002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Подростки, играющие в компьютерные игры, обладают </w:t>
      </w:r>
      <w:r>
        <w:rPr>
          <w:rFonts w:ascii="Times New Roman" w:cs="Times New Roman" w:hAnsi="Times New Roman"/>
          <w:bCs/>
          <w:iCs/>
          <w:color w:val="000000" w:themeColor="dk1"/>
          <w:sz w:val="28"/>
          <w:szCs w:val="28"/>
          <w:u w:val="none"/>
          <w:lang w:eastAsia="en-US"/>
        </w:rPr>
        <w:t>определенными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 психологическими особенностями, которые могут отличаться от особенностей других групп подростков. </w:t>
      </w:r>
    </w:p>
    <w:p w14:paraId="0000002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b/>
          <w:bCs/>
          <w:color w:val="000000" w:themeColor="dk1"/>
          <w:sz w:val="28"/>
          <w:szCs w:val="28"/>
          <w:u w:val="none"/>
          <w:lang w:eastAsia="en-US"/>
        </w:rPr>
        <w:t>Поток в игровой деятельности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, также известный как </w:t>
      </w:r>
      <w:r>
        <w:rPr>
          <w:rFonts w:ascii="Times New Roman" w:cs="Times New Roman" w:hAnsi="Times New Roman"/>
          <w:iCs/>
          <w:color w:val="000000" w:themeColor="dk1"/>
          <w:sz w:val="28"/>
          <w:szCs w:val="28"/>
          <w:u w:val="none"/>
          <w:lang w:eastAsia="en-US"/>
        </w:rPr>
        <w:t>состояние потерянного времени</w:t>
      </w:r>
      <w:r>
        <w:rPr>
          <w:rFonts w:ascii="Times New Roman" w:cs="Times New Roman" w:hAnsi="Times New Roman"/>
          <w:i/>
          <w:iCs/>
          <w:color w:val="000000" w:themeColor="dk1"/>
          <w:sz w:val="28"/>
          <w:szCs w:val="28"/>
          <w:u w:val="none"/>
          <w:lang w:eastAsia="en-US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или "погружение", представляет собой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психологическое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состояние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, когда игрок полностью погружается в игровой процесс и испытывает глубокое удовлетворение от всестороннего взаимодействия с игровым контекстом.</w:t>
      </w:r>
    </w:p>
    <w:p w14:paraId="0000002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Этот феномен был первоначально описан психологом М. Чиксентмихайи в 1970-х годах. В состоянии потока игрок чувствует себя полностью поглощенным игрой и сосредоточенным на текущей задаче. В этом состоянии игрок часто испытывает высокий уровень вовлеченности и концентрации, а также потерю ощущения времени и самосознания .</w:t>
      </w:r>
    </w:p>
    <w:p w14:paraId="0000002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Феномен потока в игровой деятельности обычно возникает при определенных условиях, включая ясные цели игры, прогрессивные вызовы, связь между навыками игрока и сложностью игры, быструю обратную связь и возможность сосредоточенного взаимодействия с виртуальным миром. Когда эти условия соблюдаются, игровой поток может стать захватывающим и увлекательным опытом для игрока.</w:t>
      </w:r>
    </w:p>
    <w:p w14:paraId="0000002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Поток в игровой деятельности имеет несколько потенциальных психологических исходов, включая улучшение самоэффективности, укрепление положительных эмоций, ощущение удовлетворения и повышение общего благополучия.</w:t>
      </w:r>
    </w:p>
    <w:p w14:paraId="0000002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В целом, феномен потока в игровой деятельности представляет собой интересную область исследования в области психологии игры, которая может помочь в понимании того, как игры могут оказывать положительное влияние на психологическое состояние и благополучие игроков.</w:t>
      </w:r>
    </w:p>
    <w:p w14:paraId="0000003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Подростковый возраст является периодом активного развития и становления личности. В этот период происходит формирование мировоззрения, самосознания, ценностных ориентиров. В связи с этим наиболее актуальной становится </w:t>
      </w:r>
      <w:r>
        <w:rPr>
          <w:rFonts w:ascii="Times New Roman" w:cs="Times New Roman" w:hAnsi="Times New Roman"/>
          <w:bCs/>
          <w:iCs/>
          <w:color w:val="000000" w:themeColor="dk1"/>
          <w:sz w:val="28"/>
          <w:szCs w:val="28"/>
          <w:u w:val="none"/>
          <w:lang w:eastAsia="en-US"/>
        </w:rPr>
        <w:t>работа над повышением уровня учебной мотивации подростков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. Ключевым аспектом эффективной работы с подростками является мотивация. </w:t>
      </w:r>
    </w:p>
    <w:p w14:paraId="0000003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В подростковом возрасте происходит изменение структуры мотивации. Внешние мотивы, такие как страх наказания или желание получить одобрение со стороны взрослых, постепенно уступают место внутренним мотивам, таким как интерес к знаниям, стремление к саморазвитию и самореализации. Однако внешние мотивы могут по-прежнему играть важную роль, особенно в начале подросткового возраста.</w:t>
      </w:r>
    </w:p>
    <w:p w14:paraId="0000003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В подростковом возрасте также происходит изменение иерархии мотивов. Ведущим становится мотив достижения успеха. Подростки стремятся к успеху, к преодолению трудностей, к самоутверждению.</w:t>
      </w:r>
    </w:p>
    <w:p w14:paraId="0000003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При работе с учебной мотивацией подростков необходимы тщательный анализ и индивидуальный подход. Здесь стоит соблюдать баланс мотивационных и педагогических подходов, чтобы стимулировать развитие подростков и помочь им использовать свой потенциал в полной мере. </w:t>
      </w:r>
    </w:p>
    <w:p w14:paraId="0000003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Безусловно, важно не забывать о значимости игр для самих подростков. Для них компьютерные игры могут иметь большое значение и являться источником удовлетворения, развлечения и самовыражения. Понимание этого поможет лучше воспринять их интересы и включить их в процесс работы. </w:t>
      </w:r>
    </w:p>
    <w:p w14:paraId="0000003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Подростки, играющие в компьютерные игры, проявляют интерес к разным аспектам игрового процесса, таким как стратегия, соревновательность, командная работа и др. Их стоит учитывать и применять в образовательной деятельности, чтобы поддержать мотивацию подростков к учебе. </w:t>
      </w:r>
    </w:p>
    <w:p w14:paraId="0000003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Применение в педагогической деятельности методик, основанных на концепции целей и наград стимулирует у подростков мотивацию и интерес к учебе. В качестве примера можно привести ситуацию, в которой при достижении определенных результатов в учебном процессе учащийся получает заранее оговоренную и значимую для него награду. Использование интерактивных методов обучения, таких как обучающие игры или симуляторы, будет способствовать лучшему погружению подростков в образовательный процесс и повышению их мотивации. </w:t>
      </w:r>
    </w:p>
    <w:p w14:paraId="0000003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Индивидуальные особенности каждого подростка - это один из ключевых аспектов при работе с его мотивацией. В то время, как один может быть мотивирован соревноваться и достигать высоких результатов, другому может быть важно сотрудничество и командная работа. </w:t>
      </w:r>
    </w:p>
    <w:p w14:paraId="00000038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Поддержка и позитивное отношение со стороны взрослых необходимы подростку. Это помогает им сохранить мотивацию и уверенность в своих силах. [18, c.231] Если подростку не хватает поддержки со стороны родителей, учителей или других значимых взрослых, то это может привести к снижению.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мотивации к учебе. Например, если родители не проявляют интереса к учебе подростка, или если учителя не замечают его успехов, может возникнуть ситуация, в которой подросток будет чувствовать себя ненужным и незамеченным. </w:t>
      </w:r>
    </w:p>
    <w:p w14:paraId="0000003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Также необходимо находить баланс между игровым и учебным временем. Хотя компьютерные игры могут быть полезными инструментами для обучения и развития навыков, важно, чтобы они не заменяли учебу и другие важные аспекты жизни подростка. </w:t>
      </w:r>
    </w:p>
    <w:p w14:paraId="0000003A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Даже когда подросток сам осознает важность учебы для его будущего, необходимо сформировать у него положительное отношение к знаниям, обучению и школе, во избежание ситуации, в которой отрыв от коллектива ведет к потере интереса к обучению. Формирование у подростка навыков саморегуляции и самоконтроля учит его ставить перед собой цели, разрабатывать планы их достижения и контролировать свое поведение и эмоции.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br w:type="textWrapping"/>
      </w:r>
    </w:p>
    <w:p w14:paraId="0000003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Исходя из всего вышеизложенного, можно возможно сформулировать методы контроля мотивации у подростков, играющих в компьютерные игры:</w:t>
      </w:r>
    </w:p>
    <w:p w14:paraId="0000003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1. Наблюдение - это один из самых старых и основополагающих методов эмпирического исследования, который дает ценную информацию о мотивации подростка к учебе. Если подросток часто пропускает занятия, не выполняет домашние задания или другими способами проявляет безразличие к учебе, это может свидетельствовать о снижении его мотивации. </w:t>
      </w:r>
    </w:p>
    <w:p w14:paraId="0000003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2. Опросы являются наиболее распространенным методом выявления уровня мотивации в учебе у подростков. Они подразделяются на открытые и закрытые, первые из которых дают более полную информацию о мотивации подростка в ущерб времени и усилиям по обработке результатов, в то время как вторые позволяют получить более объективную информацию, но являются менее информативными.  </w:t>
      </w:r>
    </w:p>
    <w:p w14:paraId="0000003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3. Интервью - это еще один эффективный и гибкий метод выявления уровня мотивации. Он позволяет получить полную информацию из развернутых ответов подростка и при необходимости скорректировать беседу. </w:t>
      </w:r>
    </w:p>
    <w:p w14:paraId="0000003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4. Проективные методики, как с участием испытуемых, так и направленные на анализ их мотивации, можно назвать наиболее эффективным эмпирическим методом в рассматриваемой сфере. Они позволяют выявлять бессознательные мотивы подростка, которые могут не осознаваться им самим.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br w:type="textWrapping"/>
      </w:r>
    </w:p>
    <w:p w14:paraId="0000004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>На основе полученных в ходе исследований данных необходима работы по повышению и корректированию уровня учебной мотивации. В этом помогут следующие методы:</w:t>
      </w:r>
    </w:p>
    <w:p w14:paraId="0000004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1. Беседы - основной и самый популярный метод работы. В ходе проведения индивидуальных бесед психолог выясняет, чем обусловлено снижение учебной мотивации, помогает подростку осознать важность учебы для его будущего, формирует у него положительное отношение к знаниям, обучению и школе. </w:t>
      </w:r>
    </w:p>
    <w:p w14:paraId="0000004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2. Игротерапия - метод, направленный в большей степени на эмоциональную сферу. Он в доступной форме помогает справиться с переживаниями, связанными со школой, взаимодействием с учителями и сверстниками и развивает навыки саморегуляции и самоконтроля. </w:t>
      </w:r>
    </w:p>
    <w:p w14:paraId="0000004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3. Групповая терапия является актуальным методом в ситуации группы подростков со схожими проблемами. В ходе терапии такие дети получают и оказывают поддержку сверстникам, справляются с возможным чувством оторванности от коллектива и совместно учатся решать проблемы, возникающие у них в процессе обучения. </w:t>
      </w: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br w:type="textWrapping"/>
      </w:r>
    </w:p>
    <w:p w14:paraId="0000004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</w:pPr>
      <w:r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eastAsia="en-US"/>
        </w:rPr>
        <w:t xml:space="preserve">Компьютерные игры могут быть средством саморегуляции для подростков. Они могут использовать игры как платформу для установления и следования определенным правилам, контроля эмоций и обратной связи. Это помогает им развивать навыки самоуправления и самоконтроля. Но в то же время компьютерные игры могут вызывать игровую зависимость, быть препятствием для создания социальных связей и снижать познавательный интерес в учебе. </w:t>
      </w:r>
    </w:p>
    <w:p w14:paraId="0000004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val="en-US"/>
        </w:rPr>
      </w:pPr>
      <w:r>
        <w:rPr>
          <w:rFonts w:ascii="Times New Roman" w:cs="Times New Roman" w:hAnsi="Times New Roman"/>
          <w:bCs/>
          <w:color w:val="000000" w:themeColor="dk1"/>
          <w:sz w:val="28"/>
          <w:szCs w:val="28"/>
          <w:u w:val="none"/>
          <w:lang w:eastAsia="en-US"/>
        </w:rPr>
        <w:t xml:space="preserve">В данной работе были рассмотрены основные аспекты данной проблематики и предложены рекомендации по ее решению. </w:t>
      </w:r>
    </w:p>
    <w:p w14:paraId="0000004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75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val="en-US"/>
        </w:rPr>
      </w:pPr>
    </w:p>
    <w:p w14:paraId="00000047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75" w:firstLine="0"/>
        <w:jc w:val="left"/>
        <w:rPr>
          <w:rFonts w:ascii="Times New Roman" w:cs="Times New Roman" w:hAnsi="Times New Roman"/>
          <w:color w:val="000000" w:themeColor="dk1"/>
          <w:sz w:val="28"/>
          <w:szCs w:val="28"/>
          <w:u w:val="none"/>
          <w:lang w:val="en-US"/>
        </w:rPr>
      </w:pPr>
    </w:p>
    <w:p w14:paraId="00000048">
      <w:pPr>
        <w:spacing w:after="0" w:line="240" w:lineRule="auto"/>
        <w:ind w:firstLine="284"/>
        <w:jc w:val="both"/>
        <w:rPr>
          <w:bCs/>
        </w:rPr>
      </w:pPr>
    </w:p>
    <w:p w14:paraId="00000049">
      <w:pPr>
        <w:spacing w:after="0" w:line="240" w:lineRule="auto"/>
        <w:ind w:firstLine="284"/>
        <w:jc w:val="both"/>
        <w:rPr>
          <w:bCs/>
          <w:color w:val="ff0000"/>
        </w:rPr>
      </w:pPr>
      <w:r>
        <w:rPr>
          <w:bCs/>
          <w:color w:val="ff0000"/>
        </w:rPr>
        <w:t xml:space="preserve"> </w:t>
      </w:r>
    </w:p>
    <w:p w14:paraId="0000004A">
      <w:pPr>
        <w:spacing w:after="0" w:line="240" w:lineRule="auto"/>
        <w:ind w:firstLine="709"/>
        <w:jc w:val="both"/>
        <w:rPr>
          <w:bCs/>
          <w:color w:val="ff0000"/>
        </w:rPr>
      </w:pPr>
    </w:p>
    <w:p w14:paraId="0000004B">
      <w:pPr>
        <w:spacing w:after="0" w:line="240" w:lineRule="auto"/>
        <w:ind w:firstLine="709"/>
        <w:jc w:val="both"/>
        <w:rPr>
          <w:bCs/>
          <w:color w:val="ff0000"/>
        </w:rPr>
      </w:pPr>
    </w:p>
    <w:p w14:paraId="0000004C">
      <w:pPr>
        <w:spacing w:after="0" w:line="240" w:lineRule="auto"/>
        <w:ind w:firstLine="709"/>
        <w:jc w:val="both"/>
        <w:rPr>
          <w:bCs/>
        </w:rPr>
      </w:pPr>
    </w:p>
    <w:p w14:paraId="0000004D">
      <w:pPr>
        <w:spacing w:after="0" w:line="240" w:lineRule="auto"/>
        <w:ind w:firstLine="708"/>
        <w:jc w:val="both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>Список</w:t>
      </w:r>
      <w:r>
        <w:rPr>
          <w:rFonts w:eastAsia="Times New Roman"/>
          <w:b/>
          <w:color w:val="000000"/>
          <w:lang w:eastAsia="ru-RU"/>
        </w:rPr>
        <w:t xml:space="preserve"> </w:t>
      </w:r>
      <w:r>
        <w:rPr>
          <w:rFonts w:eastAsia="Times New Roman"/>
          <w:b/>
          <w:color w:val="000000"/>
          <w:lang w:eastAsia="ru-RU"/>
        </w:rPr>
        <w:t>использ</w:t>
      </w:r>
      <w:r>
        <w:rPr>
          <w:rFonts w:eastAsia="Times New Roman"/>
          <w:b/>
          <w:color w:val="000000"/>
          <w:lang w:eastAsia="ru-RU"/>
        </w:rPr>
        <w:t>уемых</w:t>
      </w:r>
      <w:r>
        <w:rPr>
          <w:rFonts w:eastAsia="Times New Roman"/>
          <w:b/>
          <w:color w:val="000000"/>
          <w:lang w:eastAsia="ru-RU"/>
        </w:rPr>
        <w:t xml:space="preserve"> </w:t>
      </w:r>
      <w:r>
        <w:rPr>
          <w:rFonts w:eastAsia="Times New Roman"/>
          <w:b/>
          <w:color w:val="000000"/>
          <w:lang w:eastAsia="ru-RU"/>
        </w:rPr>
        <w:t>источников</w:t>
      </w:r>
      <w:r>
        <w:rPr>
          <w:rFonts w:eastAsia="Times New Roman"/>
          <w:b/>
          <w:color w:val="000000"/>
          <w:lang w:eastAsia="ru-RU"/>
        </w:rPr>
        <w:t>:</w:t>
      </w:r>
    </w:p>
    <w:p w14:paraId="0000004E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</w:pP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val="en-US"/>
        </w:rPr>
        <w:br w:type="textWrapping"/>
      </w: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  <w:t>1. Авдулова Т. П.  Психология подросткового возраста: учебник и практикум для вузов / Т. П. Авдулова. — Москва: Издательство Юрайт, 2023. — 394 с.</w:t>
      </w:r>
    </w:p>
    <w:p w14:paraId="0000004F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</w:pP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  <w:t>2. Акулина Н.Н. Влияние общего интеллекта и мотивации на успешность усвоения знаний / Ананьевские чтения – СПб: Питер, 2018 – 496 с.</w:t>
      </w:r>
    </w:p>
    <w:p w14:paraId="00000050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</w:pP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  <w:t>3. Андреева, Г.М. Компьютерные игры: плюсы и минусы влияния на развитие личности подростка // Педагогическое образование в России. - 2018. - № 10. - С. 5-10.</w:t>
      </w:r>
    </w:p>
    <w:p w14:paraId="00000051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</w:pP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  <w:t xml:space="preserve">4. Божович Л. И. Личность и ее формирование в детском возрасте. — СПб.: Питер, 2018. — 398 с. </w:t>
      </w:r>
    </w:p>
    <w:p w14:paraId="00000052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</w:pP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eastAsia="en-US"/>
        </w:rPr>
        <w:t>5. Гребень, Д.И. Компьютерные игры как средство развития познавательных мотивов у подростков // Педагогика и психология образования. - 2017. - № 1. - С. 12-18.</w:t>
      </w:r>
    </w:p>
    <w:p w14:paraId="00000053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lang w:val="en-US"/>
        </w:rPr>
      </w:pPr>
    </w:p>
    <w:p w14:paraId="00000054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Times New Roman" w:cs="Times New Roman" w:hAnsi="Times New Roman"/>
          <w:color w:val="000000" w:themeColor="dk1"/>
          <w:sz w:val="24"/>
          <w:szCs w:val="24"/>
          <w:lang w:val="en-US"/>
        </w:rPr>
      </w:pPr>
    </w:p>
    <w:p w14:paraId="00000055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ascii="Segoe UI"/>
          <w:color w:val="000000" w:themeColor="dk1"/>
          <w:sz w:val="24"/>
          <w:szCs w:val="24"/>
          <w:u w:val="none"/>
          <w:lang w:val="en-US"/>
        </w:rPr>
      </w:pPr>
    </w:p>
    <w:p w14:paraId="00000056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20" w:right="0" w:firstLine="0"/>
        <w:jc w:val="left"/>
        <w:rPr>
          <w:rFonts w:eastAsia="Times New Roman"/>
          <w:b w:val="off"/>
          <w:bCs w:val="off"/>
          <w:color w:val="000000"/>
          <w:lang w:eastAsia="ru-RU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 w14:paraId="00000057">
      <w:pPr>
        <w:spacing w:after="0" w:line="240" w:lineRule="auto"/>
        <w:ind w:firstLine="708"/>
        <w:jc w:val="both"/>
        <w:rPr>
          <w:rFonts w:eastAsia="Times New Roman"/>
          <w:b/>
          <w:color w:val="000000"/>
          <w:lang w:eastAsia="ru-RU"/>
        </w:rPr>
      </w:pPr>
    </w:p>
    <w:p w14:paraId="00000058">
      <w:pPr>
        <w:pStyle w:val="ListParagraph"/>
        <w:spacing w:after="0" w:line="240" w:lineRule="auto"/>
        <w:jc w:val="both"/>
        <w:rPr>
          <w:rFonts w:eastAsia="Times New Roman"/>
          <w:bCs/>
          <w:color w:val="000000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endnote w:type="separator" w:id="0">
    <w:p w14:paraId="00000011">
      <w:pPr>
        <w:spacing w:after="0" w:line="240" w:lineRule="auto"/>
        <w:rPr/>
      </w:pPr>
      <w:r>
        <w:rPr/>
        <w:separator/>
      </w:r>
    </w:p>
  </w:endnote>
  <w:endnote w:type="continuationSeparator" w:id="1">
    <w:p w14:paraId="00000012"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PT Astra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pt sans">
    <w:charset w:val="00"/>
  </w:font>
  <w:font w:name="Segoe UI">
    <w:charset w:val="00"/>
  </w:font>
  <w:font w:name="georgia">
    <w:charset w:val="00"/>
  </w:font>
  <w:font w:name="inherit">
    <w:charset w:val="00"/>
  </w:font>
  <w:font w:name="noto sans">
    <w:charset w:val="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footnote w:type="separator" w:id="0">
    <w:p w14:paraId="00000001">
      <w:pPr>
        <w:spacing w:after="0" w:line="240" w:lineRule="auto"/>
        <w:rPr/>
      </w:pPr>
      <w:r>
        <w:rPr/>
        <w:separator/>
      </w:r>
    </w:p>
  </w:footnote>
  <w:footnote w:type="continuationSeparator" w:id="1">
    <w:p w14:paraId="00000002">
      <w:pPr>
        <w:spacing w:after="0" w:line="240" w:lineRule="auto"/>
        <w:rPr/>
      </w:pPr>
      <w:r>
        <w:rPr/>
        <w:continuationSeparator/>
      </w:r>
    </w:p>
  </w:footnote>
  <w:footnote w:id="2">
    <w:p w14:paraId="00000003">
      <w:pPr>
        <w:pStyle w:val="Footnotetext"/>
        <w:rPr/>
      </w:pPr>
      <w:r>
        <w:rPr>
          <w:rStyle w:val="Footnotereference"/>
        </w:rPr>
        <w:footnoteRef/>
      </w:r>
      <w:r>
        <w:t xml:space="preserve"> </w:t>
      </w:r>
      <w:r>
        <w:t>Электронный ресурс https://www.languagemagazine.com/2019/05/10/bilingual-children-adapt-to-others-needs-better/ (дата обращения: 02.11.2022)</w:t>
      </w:r>
    </w:p>
  </w:footnote>
  <w:footnote w:id="3">
    <w:p w14:paraId="00000004">
      <w:pPr>
        <w:pStyle w:val="Footnotetext"/>
        <w:rPr/>
      </w:pPr>
      <w:r>
        <w:rPr>
          <w:rStyle w:val="Footnotereference"/>
        </w:rPr>
        <w:footnoteRef/>
      </w:r>
      <w:r>
        <w:t xml:space="preserve"> Электронный ресурс:</w:t>
      </w:r>
      <w:r>
        <w:rPr>
          <w:lang w:val="en-US"/>
        </w:rPr>
        <w:t>URL</w:t>
      </w:r>
      <w:r>
        <w:t>:</w:t>
      </w:r>
      <w:r>
        <w:t xml:space="preserve"> </w:t>
      </w:r>
      <w:r>
        <w:rPr>
          <w:rStyle w:val="Hyperlink"/>
        </w:rPr>
        <w:fldChar w:fldCharType="begin"/>
      </w:r>
      <w:r>
        <w:rPr>
          <w:rStyle w:val="Hyperlink"/>
        </w:rPr>
        <w:instrText xml:space="preserve">HYPERLINK "https://www.ncbi.nlm.nih.gov/pmc/articles/PMC5324728/" </w:instrText>
      </w:r>
      <w:r>
        <w:rPr>
          <w:rStyle w:val="Hyperlink"/>
        </w:rPr>
        <w:fldChar w:fldCharType="separate"/>
      </w:r>
      <w:r>
        <w:rPr>
          <w:rStyle w:val="Hyperlink"/>
        </w:rPr>
        <w:t>https://www.ncbi.nlm.nih.gov/pmc/articles/PMC5324728/</w:t>
      </w:r>
      <w:r>
        <w:fldChar w:fldCharType="end"/>
      </w:r>
      <w:r>
        <w:t xml:space="preserve"> </w:t>
      </w:r>
      <w:r>
        <w:t>(дата обращения: 0</w:t>
      </w:r>
      <w:r>
        <w:t>6</w:t>
      </w:r>
      <w:r>
        <w:t>.11.2022)</w:t>
      </w:r>
    </w:p>
  </w:footnote>
  <w:footnote w:id="4">
    <w:p w14:paraId="00000005">
      <w:pPr>
        <w:pStyle w:val="Footnotetext"/>
        <w:rPr/>
      </w:pPr>
      <w:r>
        <w:rPr>
          <w:rStyle w:val="Footnotereference"/>
        </w:rPr>
        <w:footnoteRef/>
      </w:r>
      <w:r>
        <w:t xml:space="preserve"> </w:t>
      </w:r>
      <w:r>
        <w:t>Электронный ресурс:</w:t>
      </w:r>
      <w:r>
        <w:rPr>
          <w:lang w:val="en-US"/>
        </w:rPr>
        <w:t>URL</w:t>
      </w:r>
      <w:r>
        <w:t xml:space="preserve">: </w:t>
      </w:r>
      <w:r>
        <w:rPr>
          <w:rStyle w:val="Hyperlink"/>
        </w:rPr>
        <w:fldChar w:fldCharType="begin"/>
      </w:r>
      <w:r>
        <w:rPr>
          <w:rStyle w:val="Hyperlink"/>
        </w:rPr>
        <w:instrText xml:space="preserve">HYPERLINK "https://www.ncbi.nlm.nih.gov/pmc/articles/PMC5324728/" </w:instrText>
      </w:r>
      <w:r>
        <w:rPr>
          <w:rStyle w:val="Hyperlink"/>
        </w:rPr>
        <w:fldChar w:fldCharType="separate"/>
      </w:r>
      <w:r>
        <w:rPr>
          <w:rStyle w:val="Hyperlink"/>
        </w:rPr>
        <w:t>https://www.ncbi.nlm.nih.gov/pmc/articles/PMC5324728/</w:t>
      </w:r>
      <w:r>
        <w:fldChar w:fldCharType="end"/>
      </w:r>
      <w:r>
        <w:t xml:space="preserve"> </w:t>
      </w:r>
      <w:r>
        <w:t xml:space="preserve"> </w:t>
      </w:r>
      <w:bookmarkStart w:id="0" w:name="_Hlk118747893"/>
      <w:r>
        <w:t>(дата обращения: 0</w:t>
      </w:r>
      <w:r>
        <w:t>2</w:t>
      </w:r>
      <w:r>
        <w:t>.11.2022)</w:t>
      </w:r>
      <w:bookmarkEnd w:id="0"/>
    </w:p>
  </w:footnote>
  <w:footnote w:id="5">
    <w:p w14:paraId="00000006">
      <w:pPr>
        <w:pStyle w:val="Footnotetext"/>
        <w:rPr/>
      </w:pPr>
      <w:r>
        <w:rPr>
          <w:rStyle w:val="Footnotereference"/>
        </w:rPr>
        <w:footnoteRef/>
      </w:r>
      <w:r>
        <w:t xml:space="preserve"> </w:t>
      </w:r>
      <w:r>
        <w:t>Чиршева</w:t>
      </w:r>
      <w:r>
        <w:t xml:space="preserve"> Г. Н. Детский билингвизм: одновременное усвоение двух языков.</w:t>
      </w:r>
      <w:r>
        <w:t xml:space="preserve"> С 56-87</w:t>
      </w:r>
    </w:p>
  </w:footnote>
  <w:footnote w:id="6">
    <w:p w14:paraId="00000007">
      <w:pPr>
        <w:pStyle w:val="Footnotetext"/>
        <w:rPr/>
      </w:pPr>
      <w:r>
        <w:rPr>
          <w:rStyle w:val="Footnotereference"/>
        </w:rPr>
        <w:footnoteRef/>
      </w:r>
      <w:r>
        <w:t xml:space="preserve"> Электронный ресурс: </w:t>
      </w:r>
      <w:r>
        <w:t>ХексельбергМ.Г</w:t>
      </w:r>
      <w:r>
        <w:t xml:space="preserve">. </w:t>
      </w:r>
      <w:r>
        <w:t>Билингвизм  URL</w:t>
      </w:r>
      <w:r>
        <w:t>:</w:t>
      </w:r>
    </w:p>
    <w:p w14:paraId="00000008">
      <w:pPr>
        <w:pStyle w:val="Footnotetext"/>
        <w:rPr/>
      </w:pPr>
      <w:r>
        <w:rPr>
          <w:rStyle w:val="Hyperlink"/>
        </w:rPr>
        <w:fldChar w:fldCharType="begin"/>
      </w:r>
      <w:r>
        <w:rPr>
          <w:rStyle w:val="Hyperlink"/>
        </w:rPr>
        <w:instrText xml:space="preserve">HYPERLINK "https://drive.google.com/file/d/1fnjbQkRw6QF0CMYJywDSz8_64p47giFu/view" </w:instrText>
      </w:r>
      <w:r>
        <w:rPr>
          <w:rStyle w:val="Hyperlink"/>
        </w:rPr>
        <w:fldChar w:fldCharType="separate"/>
      </w:r>
      <w:r>
        <w:rPr>
          <w:rStyle w:val="Hyperlink"/>
        </w:rPr>
        <w:t>https://drive.google.com/file/d/1fnjbQkRw6QF0CMYJywDSz8_64p47giFu/view</w:t>
      </w:r>
      <w:r>
        <w:fldChar w:fldCharType="end"/>
      </w:r>
      <w:r>
        <w:t xml:space="preserve">  (дата обращения:</w:t>
      </w:r>
      <w:r>
        <w:t xml:space="preserve"> 06.11.2022)</w:t>
      </w:r>
    </w:p>
  </w:footnote>
  <w:footnote w:id="7">
    <w:p w14:paraId="00000009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rtl w:val="off"/>
          <w:lang w:val="en-US"/>
        </w:rPr>
        <w:t>Военная психиатрия: Учебник / Под ред. С.И. Литвинцева, В.К. Шамрея. СПб.: ВМедА; ЭЛБИ-СПб., 2001. С. 232.</w:t>
      </w:r>
      <w:r>
        <w:rPr>
          <w:rFonts w:ascii="Times New Roman" w:cs="Times New Roman" w:hAnsi="Times New Roman"/>
          <w:i w:val="off"/>
          <w:iCs w:val="off"/>
          <w:color w:val="000000"/>
          <w:sz w:val="24"/>
          <w:szCs w:val="24"/>
          <w:rtl w:val="off"/>
          <w:lang w:val="en-US"/>
        </w:rPr>
        <w:t xml:space="preserve"> </w:t>
      </w:r>
    </w:p>
  </w:footnote>
  <w:footnote w:id="8">
    <w:p w14:paraId="0000000A">
      <w:pPr>
        <w:rPr>
          <w:rFonts w:ascii="Times New Roman" w:cs="Times New Roman" w:hAnsi="Times New Roman"/>
          <w:sz w:val="24"/>
          <w:szCs w:val="24"/>
        </w:rPr>
      </w:pPr>
      <w:r>
        <w:rPr>
          <w:rStyle w:val="Footnotereference"/>
          <w:rFonts w:ascii="Times New Roman" w:cs="Times New Roman" w:hAnsi="Times New Roman"/>
          <w:sz w:val="24"/>
          <w:szCs w:val="24"/>
        </w:rPr>
        <w:footnoteRef/>
      </w: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Лаврова, Е. Е. Личностные деформации участников боевых конфликтов / Е. Е. Лаврова. — Текст : непосредственный // Молодой ученый. — 2015. — № 18 (98). — С. 332-336. — URL: </w:t>
      </w:r>
      <w:r>
        <w:rPr>
          <w:rStyle w:val="Hyperlink"/>
          <w:rFonts w:ascii="Times New Roman" w:cs="Times New Roman" w:hAnsi="Times New Roman"/>
          <w:sz w:val="24"/>
          <w:szCs w:val="24"/>
          <w:rtl w:val="off"/>
          <w:lang w:val="en-US"/>
        </w:rPr>
        <w:fldChar w:fldCharType="begin"/>
      </w:r>
      <w:r>
        <w:rPr>
          <w:rStyle w:val="Hyperlink"/>
          <w:rFonts w:ascii="Times New Roman" w:cs="Times New Roman" w:hAnsi="Times New Roman"/>
          <w:sz w:val="24"/>
          <w:szCs w:val="24"/>
          <w:rtl w:val="off"/>
          <w:lang w:val="en-US"/>
        </w:rPr>
        <w:instrText xml:space="preserve">HYPERLINK "https://moluch.ru/archive/98/21914/"</w:instrText>
      </w:r>
      <w:r>
        <w:rPr>
          <w:rStyle w:val="Hyperlink"/>
          <w:rFonts w:ascii="Times New Roman" w:cs="Times New Roman" w:hAnsi="Times New Roman"/>
          <w:sz w:val="24"/>
          <w:szCs w:val="24"/>
          <w:rtl w:val="off"/>
          <w:lang w:val="en-US"/>
        </w:rPr>
        <w:fldChar w:fldCharType="separate"/>
      </w:r>
      <w:r>
        <w:rPr>
          <w:rStyle w:val="Hyperlink"/>
          <w:rFonts w:ascii="Times New Roman" w:cs="Times New Roman" w:hAnsi="Times New Roman"/>
          <w:sz w:val="24"/>
          <w:szCs w:val="24"/>
          <w:rtl w:val="off"/>
          <w:lang w:val="en-US"/>
        </w:rPr>
        <w:t>https://moluch.ru/archive/98/21914/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fldChar w:fldCharType="end"/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 </w:t>
      </w:r>
    </w:p>
  </w:footnote>
  <w:footnote w:id="9">
    <w:p w14:paraId="0000000B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/>
      </w:pPr>
      <w:r>
        <w:rPr>
          <w:rStyle w:val="Footnotereference"/>
        </w:rPr>
        <w:footnoteRef/>
      </w:r>
      <w:r>
        <w:t xml:space="preserve"> </w:t>
      </w:r>
      <w:r>
        <w:rPr>
          <w:sz w:val="24"/>
          <w:szCs w:val="24"/>
        </w:rPr>
        <w:t>Л</w:t>
      </w:r>
      <w:r>
        <w:rPr>
          <w:rFonts w:ascii="Times New Roman" w:cs="Times New Roman" w:hAnsi="Times New Roman"/>
          <w:color w:val="000000"/>
          <w:sz w:val="24"/>
          <w:szCs w:val="24"/>
          <w:rtl w:val="off"/>
          <w:lang w:val="en-US"/>
        </w:rPr>
        <w:t xml:space="preserve">ичностные особенности военнослужащих - участников локальных вооруженных конфликтов, страдающих боевыми психическими расстройствами URL: 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fldChar w:fldCharType="begin"/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instrText xml:space="preserve"> HYPERLINK "https://wiselawyer.ru/poleznoe/25584-lichnostnye-osobennosti-voennosluzhashhikh-uchastnikov-lokalnykh-vooruzhennykh-konfliktov?ysclid=lf8qjgnjiy3219149" </w:instrText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fldChar w:fldCharType="separate"/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t>Личностные особенности военнослужащих - участников локальных вооруженных конфликтов, страдающих боевыми психическими расстройствами 2023 (wiselawyer.ru)</w:t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fldChar w:fldCharType="end"/>
      </w:r>
      <w:r>
        <w:rPr>
          <w:rFonts w:ascii="Times New Roman" w:cs="Times New Roman" w:hAnsi="Times New Roman"/>
          <w:color w:val="000000" w:themeColor="dk1"/>
          <w:sz w:val="24"/>
          <w:szCs w:val="24"/>
          <w:u w:val="none"/>
          <w:rtl w:val="off"/>
          <w:lang w:val="en-US"/>
        </w:rPr>
        <w:t xml:space="preserve"> </w:t>
      </w:r>
    </w:p>
  </w:footnote>
  <w:footnote w:id="10">
    <w:p w14:paraId="0000000C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 w:cs="Times New Roman" w:hAnsi="Times New Roman"/>
          <w:color w:val="000000" w:themeColor="dk1"/>
          <w:sz w:val="24"/>
          <w:szCs w:val="24"/>
          <w:lang w:val="en-US"/>
        </w:rPr>
      </w:pPr>
      <w:r>
        <w:rPr>
          <w:rStyle w:val="Footnotereference"/>
          <w:rFonts w:ascii="Times New Roman" w:cs="Times New Roman" w:hAnsi="Times New Roman"/>
          <w:color w:val="000000" w:themeColor="dk1"/>
          <w:sz w:val="24"/>
          <w:szCs w:val="24"/>
        </w:rPr>
        <w:footnoteRef/>
      </w:r>
      <w:r>
        <w:rPr>
          <w:rFonts w:ascii="Times New Roman" w:cs="Times New Roman" w:hAnsi="Times New Roman"/>
          <w:color w:val="000000" w:themeColor="dk1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000000" w:themeColor="dk1"/>
          <w:sz w:val="24"/>
          <w:szCs w:val="24"/>
        </w:rPr>
        <w:t>Е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en-US"/>
        </w:rPr>
        <w:t xml:space="preserve">панчинцева Е., Казенных Т., Рудницкий В., Иванова А. (2017). Личностные черты участников локальных вооруженных конфликтов в отдаленный постаршеский период. </w:t>
      </w:r>
      <w:r>
        <w:rPr>
          <w:rFonts w:ascii="Times New Roman" w:cs="Times New Roman" w:hAnsi="Times New Roman"/>
          <w:i/>
          <w:color w:val="000000" w:themeColor="dk1"/>
          <w:sz w:val="24"/>
          <w:szCs w:val="24"/>
          <w:rtl w:val="off"/>
          <w:lang w:val="en-US"/>
        </w:rPr>
        <w:t>Европейская психиатрия,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en-US"/>
        </w:rPr>
        <w:t xml:space="preserve"> </w:t>
      </w:r>
      <w:r>
        <w:rPr>
          <w:rFonts w:ascii="Times New Roman" w:cs="Times New Roman" w:hAnsi="Times New Roman"/>
          <w:i/>
          <w:color w:val="000000" w:themeColor="dk1"/>
          <w:sz w:val="24"/>
          <w:szCs w:val="24"/>
          <w:rtl w:val="off"/>
          <w:lang w:val="en-US"/>
        </w:rPr>
        <w:t>41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en-US"/>
        </w:rPr>
        <w:t>(S1), S712-S712. doi:10.1016/j.eurpsy.2017.01.1272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en-US"/>
        </w:rPr>
        <w:t xml:space="preserve"> </w:t>
      </w:r>
    </w:p>
    <w:p w14:paraId="0000000D"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 w14:paraId="0000000E"/>
  </w:footnote>
  <w:footnote w:id="11">
    <w:p w14:paraId="0000000F">
      <w:pPr>
        <w:bidi w:val="off"/>
        <w:rPr>
          <w:i w:val="off"/>
          <w:iCs w:val="off"/>
          <w:sz w:val="24"/>
          <w:szCs w:val="24"/>
          <w:lang w:val="en-US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i w:val="off"/>
          <w:iCs w:val="off"/>
          <w:sz w:val="24"/>
          <w:szCs w:val="24"/>
          <w:rtl w:val="off"/>
          <w:lang w:val="en-US"/>
        </w:rPr>
        <w:t>Фастовцев Г.А., Морозова М.В., Савина О.Ф. Комплексная психолого-психиатрическая экспертная оценка участников и ветеранов локальных войн, совершивших агрессивные криминальные деликты: Пособие для врачей. М.: ГНЦ С и СП им проф. В.П. Сербского, 2007. С. 23 - 31.</w:t>
      </w:r>
      <w:r>
        <w:rPr>
          <w:i w:val="off"/>
          <w:iCs w:val="off"/>
          <w:sz w:val="24"/>
          <w:szCs w:val="24"/>
          <w:rtl w:val="off"/>
          <w:lang w:val="en-US"/>
        </w:rPr>
        <w:t xml:space="preserve"> </w:t>
      </w:r>
    </w:p>
    <w:p w14:paraId="00000010"/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Ansi="Times New Roman" w:hint="default"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8" w:hanging="360"/>
      </w:pPr>
    </w:lvl>
    <w:lvl w:ilvl="2" w:tentative="1">
      <w:start w:val="1"/>
      <w:numFmt w:val="lowerRoman"/>
      <w:lvlText w:val="%3."/>
      <w:lvlJc w:val="right"/>
      <w:pPr>
        <w:ind w:left="2508" w:hanging="180"/>
      </w:pPr>
    </w:lvl>
    <w:lvl w:ilvl="3" w:tentative="1">
      <w:start w:val="1"/>
      <w:numFmt w:val="decimal"/>
      <w:lvlText w:val="%4."/>
      <w:lvlJc w:val="left"/>
      <w:pPr>
        <w:ind w:left="3228" w:hanging="360"/>
      </w:pPr>
    </w:lvl>
    <w:lvl w:ilvl="4" w:tentative="1">
      <w:start w:val="1"/>
      <w:numFmt w:val="lowerLetter"/>
      <w:lvlText w:val="%5."/>
      <w:lvlJc w:val="left"/>
      <w:pPr>
        <w:ind w:left="3948" w:hanging="360"/>
      </w:pPr>
    </w:lvl>
    <w:lvl w:ilvl="5" w:tentative="1">
      <w:start w:val="1"/>
      <w:numFmt w:val="lowerRoman"/>
      <w:lvlText w:val="%6."/>
      <w:lvlJc w:val="right"/>
      <w:pPr>
        <w:ind w:left="4668" w:hanging="180"/>
      </w:pPr>
    </w:lvl>
    <w:lvl w:ilvl="6" w:tentative="1">
      <w:start w:val="1"/>
      <w:numFmt w:val="decimal"/>
      <w:lvlText w:val="%7."/>
      <w:lvlJc w:val="left"/>
      <w:pPr>
        <w:ind w:left="5388" w:hanging="360"/>
      </w:pPr>
    </w:lvl>
    <w:lvl w:ilvl="7" w:tentative="1">
      <w:start w:val="1"/>
      <w:numFmt w:val="lowerLetter"/>
      <w:lvlText w:val="%8."/>
      <w:lvlJc w:val="left"/>
      <w:pPr>
        <w:ind w:left="6108" w:hanging="360"/>
      </w:pPr>
    </w:lvl>
    <w:lvl w:ilvl="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hAnsi="Times New Roman" w:hint="default"/>
        <w:b/>
        <w:sz w:val="2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6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1068" w:hanging="360"/>
      </w:pPr>
      <w:rPr>
        <w:rFonts w:hint="default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  <w:rPr/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  <w:rPr/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  <w:rPr/>
    </w:lvl>
  </w:abstractNum>
  <w:abstractNum w:abstractNumId="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8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9">
    <w:multiLevelType w:val="hybridMultilevel"/>
    <w:lvl w:ilvl="0" w:tentative="0">
      <w:start w:val="1"/>
      <w:numFmt w:val="decimal"/>
      <w:isLgl w:val="off"/>
      <w:suff w:val="tab"/>
      <w:lvlText w:val="%1)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cs="Symbol" w:hAnsi="Symbol" w:hint="default"/>
      </w:rPr>
    </w:lvl>
    <w:lvl w:ilvl="1" w:tentative="0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cs="Courier New" w:hAnsi="Courier New" w:hint="default"/>
      </w:rPr>
    </w:lvl>
    <w:lvl w:ilvl="2" w:tentative="0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cs="Wingdings" w:hAnsi="Wingdings" w:hint="default"/>
      </w:rPr>
    </w:lvl>
    <w:lvl w:ilvl="3" w:tentative="0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cs="Symbol" w:hAnsi="Symbol" w:hint="default"/>
      </w:rPr>
    </w:lvl>
    <w:lvl w:ilvl="4" w:tentative="0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cs="Courier New" w:hAnsi="Courier New" w:hint="default"/>
      </w:rPr>
    </w:lvl>
    <w:lvl w:ilvl="5" w:tentative="0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cs="Wingdings" w:hAnsi="Wingdings" w:hint="default"/>
      </w:rPr>
    </w:lvl>
    <w:lvl w:ilvl="6" w:tentative="0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cs="Symbol" w:hAnsi="Symbol" w:hint="default"/>
      </w:rPr>
    </w:lvl>
    <w:lvl w:ilvl="7" w:tentative="0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cs="Courier New" w:hAnsi="Courier New" w:hint="default"/>
      </w:rPr>
    </w:lvl>
    <w:lvl w:ilvl="8" w:tentative="0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cs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FEF"/>
    <w:rsid w:val="00055803"/>
    <w:rsid w:val="00085FEF"/>
    <w:rsid w:val="000962C2"/>
    <w:rsid w:val="000A6B0F"/>
    <w:rsid w:val="000A6F7F"/>
    <w:rsid w:val="000C4454"/>
    <w:rsid w:val="000E174D"/>
    <w:rsid w:val="001501DF"/>
    <w:rsid w:val="00156261"/>
    <w:rsid w:val="00167DE3"/>
    <w:rsid w:val="001D211A"/>
    <w:rsid w:val="001E74F4"/>
    <w:rsid w:val="00231F7A"/>
    <w:rsid w:val="00250E7F"/>
    <w:rsid w:val="00280919"/>
    <w:rsid w:val="002841F1"/>
    <w:rsid w:val="00291A4B"/>
    <w:rsid w:val="00296A1B"/>
    <w:rsid w:val="002A11A6"/>
    <w:rsid w:val="00334E65"/>
    <w:rsid w:val="003449A8"/>
    <w:rsid w:val="00356176"/>
    <w:rsid w:val="00415D13"/>
    <w:rsid w:val="0044519E"/>
    <w:rsid w:val="004573DF"/>
    <w:rsid w:val="00473943"/>
    <w:rsid w:val="004746E8"/>
    <w:rsid w:val="00575CA6"/>
    <w:rsid w:val="00593887"/>
    <w:rsid w:val="005B4CC1"/>
    <w:rsid w:val="00606467"/>
    <w:rsid w:val="00617157"/>
    <w:rsid w:val="006419F1"/>
    <w:rsid w:val="00655BB4"/>
    <w:rsid w:val="006824E3"/>
    <w:rsid w:val="00682E49"/>
    <w:rsid w:val="006B20EB"/>
    <w:rsid w:val="006C6A83"/>
    <w:rsid w:val="006E3CD4"/>
    <w:rsid w:val="006E4F59"/>
    <w:rsid w:val="006F0A04"/>
    <w:rsid w:val="007637A0"/>
    <w:rsid w:val="007641F4"/>
    <w:rsid w:val="00764E40"/>
    <w:rsid w:val="00777943"/>
    <w:rsid w:val="0078143D"/>
    <w:rsid w:val="007A5EA4"/>
    <w:rsid w:val="007C682A"/>
    <w:rsid w:val="007D2246"/>
    <w:rsid w:val="007D6583"/>
    <w:rsid w:val="007E270E"/>
    <w:rsid w:val="007E4D8B"/>
    <w:rsid w:val="0080324F"/>
    <w:rsid w:val="00866172"/>
    <w:rsid w:val="008E0ED6"/>
    <w:rsid w:val="008E5027"/>
    <w:rsid w:val="008E7C5D"/>
    <w:rsid w:val="00973A55"/>
    <w:rsid w:val="00985848"/>
    <w:rsid w:val="009A0CF8"/>
    <w:rsid w:val="009D077A"/>
    <w:rsid w:val="009D22CE"/>
    <w:rsid w:val="00A41270"/>
    <w:rsid w:val="00A46C60"/>
    <w:rsid w:val="00A56BD3"/>
    <w:rsid w:val="00A85E77"/>
    <w:rsid w:val="00A97271"/>
    <w:rsid w:val="00AC0066"/>
    <w:rsid w:val="00AE6522"/>
    <w:rsid w:val="00AF0465"/>
    <w:rsid w:val="00B14F68"/>
    <w:rsid w:val="00B2637D"/>
    <w:rsid w:val="00B3054C"/>
    <w:rsid w:val="00B32604"/>
    <w:rsid w:val="00B4138A"/>
    <w:rsid w:val="00B77225"/>
    <w:rsid w:val="00B87A5B"/>
    <w:rsid w:val="00B90C31"/>
    <w:rsid w:val="00BB25FB"/>
    <w:rsid w:val="00C417FC"/>
    <w:rsid w:val="00CB2766"/>
    <w:rsid w:val="00CE565E"/>
    <w:rsid w:val="00D1471F"/>
    <w:rsid w:val="00D749C2"/>
    <w:rsid w:val="00D92CA5"/>
    <w:rsid w:val="00E13579"/>
    <w:rsid w:val="00E90313"/>
    <w:rsid w:val="00EC0A6E"/>
    <w:rsid w:val="00EC0C4C"/>
    <w:rsid w:val="00EF70AA"/>
    <w:rsid w:val="00F03D3A"/>
    <w:rsid w:val="00F574EA"/>
    <w:rsid w:val="00F9098E"/>
    <w:rsid w:val="00F9732E"/>
    <w:rsid w:val="00F976AC"/>
    <w:rsid w:val="00FE54EF"/>
    <w:rsid w:val="00FF0A15"/>
    <w:rsid w:val="00FF1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53A9"/>
  <w15:docId w15:val="{198C14AF-3FC6-4ECF-B159-46E03A4B9505}"/>
  <w:footnotePr>
    <w:footnote w:id="0"/>
    <w:footnote w:id="1"/>
  </w:footnotePr>
  <w:endnotePr>
    <w:endnote w:id="0"/>
    <w:endnote w:id="1"/>
  </w:endnotePr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="Times New Roman" w:cs="Times New Roman" w:eastAsiaTheme="minorHAnsi" w:hAnsi="Times New Roman"/>
        <w:sz w:val="28"/>
        <w:szCs w:val="28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Footnotetext">
    <w:name w:val="Footnote text"/>
    <w:basedOn w:val="Normal"/>
    <w:link w:val="ТекстсноскиЗнак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  <w:style w:type="character" w:customStyle="1" w:styleId="Неразрешенноеупоминание1">
    <w:name w:val="Неразрешенное упоминание1"/>
    <w:basedOn w:val="DefaultParagraphFont"/>
    <w:uiPriority w:val="99"/>
    <w:semiHidden w:val="on"/>
    <w:unhideWhenUsed w:val="on"/>
    <w:rPr>
      <w:color w:val="605e5c"/>
      <w:shd w:val="clear" w:color="auto" w:fill="e1dfdd"/>
    </w:rPr>
  </w:style>
  <w:style w:type="paragraph" w:customStyle="1" w:styleId="Standard">
    <w:name w:val="Standard"/>
    <w:uiPriority w:val="99"/>
    <w:pPr>
      <w:widowControl w:val="off"/>
      <w:spacing w:after="0" w:line="240" w:lineRule="auto"/>
      <w:jc w:val="center"/>
    </w:pPr>
    <w:rPr>
      <w:rFonts w:ascii="PT Astra Serif" w:cs="PT Astra Serif" w:eastAsia="PT Astra Serif" w:hAnsi="PT Astra Serif"/>
      <w:szCs w:val="24"/>
      <w:lang w:eastAsia="ru-RU"/>
    </w:rPr>
  </w:style>
  <w:style w:type="character" w:styleId="UnresolvedMention">
    <w:name w:val="Unresolved Mention"/>
    <w:basedOn w:val="DefaultParagraphFont"/>
    <w:uiPriority w:val="99"/>
    <w:semiHidden w:val="on"/>
    <w:unhideWhenUsed w:val="on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831">
          <w:marLeft w:val="0"/>
          <w:marRight w:val="-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002001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7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8" Type="http://schemas.openxmlformats.org/officeDocument/2006/relationships/hyperlink" Target="https://www.ncbi.nlm.nih.gov/pmc/articles/PMC5324728/" TargetMode="External"/><Relationship Id="rId9" Type="http://schemas.openxmlformats.org/officeDocument/2006/relationships/hyperlink" Target="https://www.languagemagazine.com/2019/05/10/bilingual-children-adapt-to-others-needs-better/" TargetMode="External"/><Relationship Id="rId10" Type="http://schemas.openxmlformats.org/officeDocument/2006/relationships/hyperlink" Target="https://drive.google.com/file/d/1fnjbQkRw6QF0CMYJywDSz8_64p47giFu/view" TargetMode="Externa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cbi.nlm.nih.gov/pmc/articles/PMC5324728/" TargetMode="External"/><Relationship Id="rId2" Type="http://schemas.openxmlformats.org/officeDocument/2006/relationships/hyperlink" Target="https://www.ncbi.nlm.nih.gov/pmc/articles/PMC5324728/" TargetMode="External"/><Relationship Id="rId3" Type="http://schemas.openxmlformats.org/officeDocument/2006/relationships/hyperlink" Target="https://drive.google.com/file/d/1fnjbQkRw6QF0CMYJywDSz8_64p47giFu/view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B836D-09D3-43DD-825B-E075F3879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Дарья</cp:lastModifiedBy>
</cp:coreProperties>
</file>