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14635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Психолог, специалист по работе с молодежью.</w:t>
      </w:r>
      <w:r>
        <w:rPr>
          <w:rFonts w:hint="default" w:ascii="Times New Roman" w:hAnsi="Times New Roman" w:cs="Times New Roman"/>
          <w:sz w:val="24"/>
          <w:szCs w:val="24"/>
        </w:rPr>
        <w:t>Илларионова Наталья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Николаевна.</w:t>
      </w:r>
    </w:p>
    <w:p w14:paraId="7C2F95CD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55DEEC1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Практические с</w:t>
      </w:r>
      <w:r>
        <w:rPr>
          <w:rFonts w:hint="default" w:ascii="Times New Roman" w:hAnsi="Times New Roman" w:cs="Times New Roman"/>
          <w:sz w:val="24"/>
          <w:szCs w:val="24"/>
        </w:rPr>
        <w:t>тратегии работы с детьми с синдромом дефицита внимания и гиперактивности (СДВГ) в образовательном контексте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2D900EA0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3CA2764">
      <w:pPr>
        <w:rPr>
          <w:rFonts w:hint="default" w:ascii="Times New Roman" w:hAnsi="Times New Roman" w:cs="Times New Roman"/>
          <w:sz w:val="24"/>
          <w:szCs w:val="24"/>
        </w:rPr>
      </w:pPr>
    </w:p>
    <w:p w14:paraId="520D43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Аннотация  </w:t>
      </w:r>
    </w:p>
    <w:p w14:paraId="632447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Статья посвящена анализу ключевых принципов и практических стратегий, направленных на оптимизацию взаимодействия с детьми с СДВГ в условиях образовательной среды. Рассматриваются методы создания поддерживающей атмосферы, повышения эмоциональной вовлеченности, гибкости педагогического подхода, а также аспекты эмоциональной саморегуляции педагогов. Особое внимание уделяется роли структурированности, позитивного подкрепления и командной работы специалистов.  </w:t>
      </w:r>
    </w:p>
    <w:p w14:paraId="6F5CF91B">
      <w:pPr>
        <w:rPr>
          <w:rFonts w:hint="default" w:ascii="Times New Roman" w:hAnsi="Times New Roman" w:cs="Times New Roman"/>
          <w:sz w:val="24"/>
          <w:szCs w:val="24"/>
        </w:rPr>
      </w:pPr>
    </w:p>
    <w:p w14:paraId="27F221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Ключевые слова: СДВГ, образовательная среда, эмоциональная регуляция, педагогические стратегии, поддерживающая коммуникация.  </w:t>
      </w:r>
    </w:p>
    <w:p w14:paraId="5ED9696C">
      <w:pPr>
        <w:rPr>
          <w:rFonts w:hint="default" w:ascii="Times New Roman" w:hAnsi="Times New Roman" w:cs="Times New Roman"/>
          <w:sz w:val="24"/>
          <w:szCs w:val="24"/>
        </w:rPr>
      </w:pPr>
    </w:p>
    <w:p w14:paraId="7C6C32A6">
      <w:pPr>
        <w:rPr>
          <w:rFonts w:hint="default" w:ascii="Times New Roman" w:hAnsi="Times New Roman" w:cs="Times New Roman"/>
          <w:sz w:val="24"/>
          <w:szCs w:val="24"/>
        </w:rPr>
      </w:pPr>
    </w:p>
    <w:p w14:paraId="737ADFAF">
      <w:pPr>
        <w:rPr>
          <w:rFonts w:hint="default" w:ascii="Times New Roman" w:hAnsi="Times New Roman" w:cs="Times New Roman"/>
          <w:sz w:val="24"/>
          <w:szCs w:val="24"/>
        </w:rPr>
      </w:pPr>
    </w:p>
    <w:p w14:paraId="0F74A891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Введение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17AAE0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Синдром дефицита внимания и гиперактивности (СДВГ) представляет собой нейробиологическое расстройство, характеризующееся нарушениями концентрации, импульсивностью и гиперактивностью (Barkley, 2015). Для детей с СДВГ типичны трудности в соблюдении учебных норм, что создает вызовы как для самих детей, так и для педагогов. Основная проблема заключается в несоответствии традиционных образовательных методов потребностям таких учащихся (DuPaul &amp; Stoner, 2014).  </w:t>
      </w:r>
    </w:p>
    <w:p w14:paraId="17E40E4F">
      <w:pPr>
        <w:rPr>
          <w:rFonts w:hint="default" w:ascii="Times New Roman" w:hAnsi="Times New Roman" w:cs="Times New Roman"/>
          <w:sz w:val="24"/>
          <w:szCs w:val="24"/>
        </w:rPr>
      </w:pPr>
    </w:p>
    <w:p w14:paraId="1768AB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Вопрос для размышления: Какова ключевая трудность для детей с СДВГ в образовательном процессе? Автор предполага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ет</w:t>
      </w:r>
      <w:r>
        <w:rPr>
          <w:rFonts w:hint="default" w:ascii="Times New Roman" w:hAnsi="Times New Roman" w:cs="Times New Roman"/>
          <w:sz w:val="24"/>
          <w:szCs w:val="24"/>
        </w:rPr>
        <w:t xml:space="preserve">, что основной вызов — дефицит саморегуляции, требующий адаптации среды и методов обучения.  </w:t>
      </w:r>
    </w:p>
    <w:p w14:paraId="12182C4D">
      <w:pPr>
        <w:rPr>
          <w:rFonts w:hint="default" w:ascii="Times New Roman" w:hAnsi="Times New Roman" w:cs="Times New Roman"/>
          <w:sz w:val="24"/>
          <w:szCs w:val="24"/>
        </w:rPr>
      </w:pPr>
    </w:p>
    <w:p w14:paraId="377DC88C">
      <w:pPr>
        <w:rPr>
          <w:rFonts w:hint="default" w:ascii="Times New Roman" w:hAnsi="Times New Roman" w:cs="Times New Roman"/>
          <w:sz w:val="24"/>
          <w:szCs w:val="24"/>
        </w:rPr>
      </w:pPr>
    </w:p>
    <w:p w14:paraId="4DB8F042">
      <w:pPr>
        <w:rPr>
          <w:rFonts w:hint="default" w:ascii="Times New Roman" w:hAnsi="Times New Roman" w:cs="Times New Roman"/>
          <w:sz w:val="24"/>
          <w:szCs w:val="24"/>
        </w:rPr>
      </w:pPr>
    </w:p>
    <w:p w14:paraId="292314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Методология  </w:t>
      </w:r>
    </w:p>
    <w:p w14:paraId="0A0B38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Статья основана на синтезе практико-ориентированных подходов, представленных в рамках педагогических тренингов, и их соотнесении с теоретическими моделями СДВГ (например, теорией исполнительных функций Barkley). Использованы методы качественного анализа, включая обобщение практических рекомендаций.  </w:t>
      </w:r>
    </w:p>
    <w:p w14:paraId="36AC51B8">
      <w:pPr>
        <w:rPr>
          <w:rFonts w:hint="default" w:ascii="Times New Roman" w:hAnsi="Times New Roman" w:cs="Times New Roman"/>
          <w:sz w:val="24"/>
          <w:szCs w:val="24"/>
        </w:rPr>
      </w:pPr>
    </w:p>
    <w:p w14:paraId="221978BB">
      <w:pPr>
        <w:rPr>
          <w:rFonts w:hint="default" w:ascii="Times New Roman" w:hAnsi="Times New Roman" w:cs="Times New Roman"/>
          <w:sz w:val="24"/>
          <w:szCs w:val="24"/>
        </w:rPr>
      </w:pPr>
    </w:p>
    <w:p w14:paraId="220106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Основные результаты  </w:t>
      </w:r>
    </w:p>
    <w:p w14:paraId="0C9732FC">
      <w:pPr>
        <w:rPr>
          <w:rFonts w:hint="default" w:ascii="Times New Roman" w:hAnsi="Times New Roman" w:cs="Times New Roman"/>
          <w:sz w:val="24"/>
          <w:szCs w:val="24"/>
        </w:rPr>
      </w:pPr>
    </w:p>
    <w:p w14:paraId="2D8F26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Создание поддерживающей среды  </w:t>
      </w:r>
    </w:p>
    <w:p w14:paraId="71CB5E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Установление доверия:  </w:t>
      </w:r>
    </w:p>
    <w:p w14:paraId="0A70B3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Невербальная коммуникация (открытые позы, улыбка) и персонализированный подход («волшебник, который ждал именно этого ученика») формируют чувство безопасности (Rogers, 1951).  </w:t>
      </w:r>
    </w:p>
    <w:p w14:paraId="7A0A90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Правила, сформулированные в позитивном ключе («разрешающие»), снижают сопротивление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делают </w:t>
      </w:r>
      <w:r>
        <w:rPr>
          <w:rFonts w:hint="default" w:ascii="Times New Roman" w:hAnsi="Times New Roman" w:cs="Times New Roman"/>
          <w:sz w:val="24"/>
          <w:szCs w:val="24"/>
        </w:rPr>
        <w:t xml:space="preserve">акцент на возможностях, а не запретах.  </w:t>
      </w:r>
    </w:p>
    <w:p w14:paraId="4D86AED1">
      <w:pPr>
        <w:rPr>
          <w:rFonts w:hint="default" w:ascii="Times New Roman" w:hAnsi="Times New Roman" w:cs="Times New Roman"/>
          <w:sz w:val="24"/>
          <w:szCs w:val="24"/>
        </w:rPr>
      </w:pPr>
    </w:p>
    <w:p w14:paraId="5F6A67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Эмоциональная вовлеченность:  </w:t>
      </w:r>
    </w:p>
    <w:p w14:paraId="0E31C4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Использование юмора, историй и эмоционально заряженных примеров повышает мотивацию (Jensen, 2005).  </w:t>
      </w:r>
    </w:p>
    <w:p w14:paraId="2C18ED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Энергичность педагога и смена активности (например, переход на шепот или изменение тона голоса) поддерживают внимание.  </w:t>
      </w:r>
    </w:p>
    <w:p w14:paraId="26EA8BA5">
      <w:pPr>
        <w:rPr>
          <w:rFonts w:hint="default" w:ascii="Times New Roman" w:hAnsi="Times New Roman" w:cs="Times New Roman"/>
          <w:sz w:val="24"/>
          <w:szCs w:val="24"/>
        </w:rPr>
      </w:pPr>
    </w:p>
    <w:p w14:paraId="2A4769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2. Структурированность и гибкость  </w:t>
      </w:r>
    </w:p>
    <w:p w14:paraId="38D3DF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Четкий план занятия:  </w:t>
      </w:r>
    </w:p>
    <w:p w14:paraId="17445D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Озвучивание структуры («повторение правил → подвижная игра → задание за столом») снижает тревожность.  </w:t>
      </w:r>
    </w:p>
    <w:p w14:paraId="1BCC14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Визуальные материалы (схемы, песочные часы) облегчают восприятие информации.  </w:t>
      </w:r>
    </w:p>
    <w:p w14:paraId="07F41B77">
      <w:pPr>
        <w:rPr>
          <w:rFonts w:hint="default" w:ascii="Times New Roman" w:hAnsi="Times New Roman" w:cs="Times New Roman"/>
          <w:sz w:val="24"/>
          <w:szCs w:val="24"/>
        </w:rPr>
      </w:pPr>
    </w:p>
    <w:p w14:paraId="20B929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Гибкость методов:  </w:t>
      </w:r>
    </w:p>
    <w:p w14:paraId="3DBC93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Чередование продуктивной деятельности с двигательными упражнениями (например, «минуты баловства» с сигналом «стоп») предотвращает переутомление.  </w:t>
      </w:r>
    </w:p>
    <w:p w14:paraId="734CED97">
      <w:pPr>
        <w:rPr>
          <w:rFonts w:hint="default" w:ascii="Times New Roman" w:hAnsi="Times New Roman" w:cs="Times New Roman"/>
          <w:sz w:val="24"/>
          <w:szCs w:val="24"/>
        </w:rPr>
      </w:pPr>
    </w:p>
    <w:p w14:paraId="4D7072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Командная работа педагогов  </w:t>
      </w:r>
    </w:p>
    <w:p w14:paraId="5039EF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Разделение ролей («ведущий» и «ведомый») минимизирует конфликты и поддерживает фокус группы.  </w:t>
      </w:r>
    </w:p>
    <w:p w14:paraId="00F7C02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Согласованность требований и последовательность действий повышают предсказуемость среды.  </w:t>
      </w:r>
    </w:p>
    <w:p w14:paraId="45E07847">
      <w:pPr>
        <w:rPr>
          <w:rFonts w:hint="default" w:ascii="Times New Roman" w:hAnsi="Times New Roman" w:cs="Times New Roman"/>
          <w:sz w:val="24"/>
          <w:szCs w:val="24"/>
        </w:rPr>
      </w:pPr>
    </w:p>
    <w:p w14:paraId="519014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4. Позитивное подкрепление  </w:t>
      </w:r>
    </w:p>
    <w:p w14:paraId="7B234C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Акцент на похвалу («Молодец, что дослушал!») вместо наказания формирует позитивную самооценку (Sutherland et al., 2002).  </w:t>
      </w:r>
    </w:p>
    <w:p w14:paraId="0E493E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Бонусные системы (жетоны, «банка шариков» для группы) мотивируют через коллективные достижения.  </w:t>
      </w:r>
    </w:p>
    <w:p w14:paraId="3F35A4CA">
      <w:pPr>
        <w:rPr>
          <w:rFonts w:hint="default" w:ascii="Times New Roman" w:hAnsi="Times New Roman" w:cs="Times New Roman"/>
          <w:sz w:val="24"/>
          <w:szCs w:val="24"/>
        </w:rPr>
      </w:pPr>
    </w:p>
    <w:p w14:paraId="69D0CB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Эмоциональная регуляция педагогов  </w:t>
      </w:r>
    </w:p>
    <w:p w14:paraId="6D4D8E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Стратегии самоподдержки:  </w:t>
      </w:r>
    </w:p>
    <w:p w14:paraId="459A3A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Техники глубокого дыхания и короткие паузы предотвращают эмоциональное выгорание.  </w:t>
      </w:r>
    </w:p>
    <w:p w14:paraId="53FA57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- Рефлексия («Это не каприз, а особенность») и поддержка коллег укрепляют профессиональную устойчивость.  </w:t>
      </w:r>
    </w:p>
    <w:p w14:paraId="6F6127C7">
      <w:pPr>
        <w:rPr>
          <w:rFonts w:hint="default" w:ascii="Times New Roman" w:hAnsi="Times New Roman" w:cs="Times New Roman"/>
          <w:sz w:val="24"/>
          <w:szCs w:val="24"/>
        </w:rPr>
      </w:pPr>
    </w:p>
    <w:p w14:paraId="196EDF9C">
      <w:pPr>
        <w:rPr>
          <w:rFonts w:hint="default" w:ascii="Times New Roman" w:hAnsi="Times New Roman" w:cs="Times New Roman"/>
          <w:sz w:val="24"/>
          <w:szCs w:val="24"/>
        </w:rPr>
      </w:pPr>
    </w:p>
    <w:p w14:paraId="58DEB688">
      <w:pPr>
        <w:rPr>
          <w:rFonts w:hint="default" w:ascii="Times New Roman" w:hAnsi="Times New Roman" w:cs="Times New Roman"/>
          <w:sz w:val="24"/>
          <w:szCs w:val="24"/>
        </w:rPr>
      </w:pPr>
    </w:p>
    <w:p w14:paraId="618C78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Обсуждение  </w:t>
      </w:r>
    </w:p>
    <w:p w14:paraId="6D8906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Предложенные стратегии соответствуют современным подходам к коррекции СДВГ, где акцент смещен с «исправления» ребенка на адаптацию среды (Barkley, 2015). Важным аспектом является сочетание структурированности и гибкости, что позволяет учитывать динамику энергии группы.  </w:t>
      </w:r>
    </w:p>
    <w:p w14:paraId="572C4FDA">
      <w:pPr>
        <w:rPr>
          <w:rFonts w:hint="default" w:ascii="Times New Roman" w:hAnsi="Times New Roman" w:cs="Times New Roman"/>
          <w:sz w:val="24"/>
          <w:szCs w:val="24"/>
        </w:rPr>
      </w:pPr>
    </w:p>
    <w:p w14:paraId="24C2A4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Ограничения:  </w:t>
      </w:r>
    </w:p>
    <w:p w14:paraId="6D1D91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Не все методы могут быть универсальными (например, бонусные системы требуют индивидуального подхода).</w:t>
      </w:r>
    </w:p>
    <w:p w14:paraId="00204E78">
      <w:pPr>
        <w:rPr>
          <w:rFonts w:hint="default" w:ascii="Times New Roman" w:hAnsi="Times New Roman" w:cs="Times New Roman"/>
          <w:sz w:val="24"/>
          <w:szCs w:val="24"/>
        </w:rPr>
      </w:pPr>
    </w:p>
    <w:p w14:paraId="58284B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Эффективность стратегий зависит от согласованности действий педагогов и родителей.  </w:t>
      </w:r>
    </w:p>
    <w:p w14:paraId="34A9ED49">
      <w:pPr>
        <w:rPr>
          <w:rFonts w:hint="default" w:ascii="Times New Roman" w:hAnsi="Times New Roman" w:cs="Times New Roman"/>
          <w:sz w:val="24"/>
          <w:szCs w:val="24"/>
        </w:rPr>
      </w:pPr>
    </w:p>
    <w:p w14:paraId="4BB1584A">
      <w:pPr>
        <w:rPr>
          <w:rFonts w:hint="default" w:ascii="Times New Roman" w:hAnsi="Times New Roman" w:cs="Times New Roman"/>
          <w:sz w:val="24"/>
          <w:szCs w:val="24"/>
        </w:rPr>
      </w:pPr>
    </w:p>
    <w:p w14:paraId="6344E98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Заключение  </w:t>
      </w:r>
    </w:p>
    <w:p w14:paraId="6F7D9D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Работа с детьми с СДВГ требует комплексного подхода, включающего эмоциональную поддержку, структурную ясность и адаптацию методов. Ключевая роль принадлежит позитивному подкреплению и саморегуляции педагогов. Дальнейшие исследования могут быть направлены на оценку долгосрочных эффектов предложенных стратегий.  </w:t>
      </w:r>
    </w:p>
    <w:p w14:paraId="20BE06E1">
      <w:pPr>
        <w:rPr>
          <w:rFonts w:hint="default" w:ascii="Times New Roman" w:hAnsi="Times New Roman" w:cs="Times New Roman"/>
          <w:sz w:val="24"/>
          <w:szCs w:val="24"/>
        </w:rPr>
      </w:pPr>
    </w:p>
    <w:p w14:paraId="6B7FCC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Литература  </w:t>
      </w:r>
    </w:p>
    <w:p w14:paraId="6305B340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1.Безруких М.М. (2021) «Психофизиологические основы трудностей обучения у детей с СДВГ».</w:t>
      </w:r>
    </w:p>
    <w:p w14:paraId="54030F06">
      <w:pPr>
        <w:numPr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2. Монина Г.Б. (20218) «Психологическое сопровождение детей с СДВГ в образовательной среде».</w:t>
      </w:r>
    </w:p>
    <w:p w14:paraId="7745E088">
      <w:pPr>
        <w:numPr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3. Корнеев А.А. (2017) «Нейропсихологическая диагностика и коррекция нарушений управляющих функций у детейй с СДВГ».</w:t>
      </w:r>
    </w:p>
    <w:p w14:paraId="04D5EC62">
      <w:pPr>
        <w:numPr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 xml:space="preserve"> Barkley, R. A. (2015). Attention-Deficit Hyperactivity Disorder: A Handbook for Diagnosis and Treatment.  </w:t>
      </w:r>
    </w:p>
    <w:p w14:paraId="6995C4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. DuPaul, G. J., &amp; Stoner, G. (2014). ADHD in the Schools: Assessment and Intervention Strategies.  </w:t>
      </w:r>
    </w:p>
    <w:p w14:paraId="70E3D7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Jensen, E. (2005).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sz w:val="24"/>
          <w:szCs w:val="24"/>
        </w:rPr>
        <w:t>Teaching with the Brain in Mind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cs="Times New Roman"/>
          <w:sz w:val="24"/>
          <w:szCs w:val="24"/>
        </w:rPr>
        <w:t xml:space="preserve">.  </w:t>
      </w:r>
    </w:p>
    <w:p w14:paraId="2B92E9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. Sutherland, K. S., et al. (2002). "Peer Influences on the Behavior of Students with ADHD in Classroom Settings".  </w:t>
      </w:r>
    </w:p>
    <w:p w14:paraId="1E0397DF">
      <w:pPr>
        <w:rPr>
          <w:rFonts w:hint="default" w:ascii="Times New Roman" w:hAnsi="Times New Roman" w:cs="Times New Roman"/>
          <w:sz w:val="24"/>
          <w:szCs w:val="24"/>
        </w:rPr>
      </w:pPr>
    </w:p>
    <w:p w14:paraId="446EEF53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AF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2025-03-26T05:00:24Z</dcterms:created>
  <dc:creator>nn-sh</dc:creator>
  <cp:lastModifiedBy>nn-sh</cp:lastModifiedBy>
  <dcterms:modified xsi:type="dcterms:W3CDTF">2025-03-26T05:15:20Z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3EBAB65ACD264A86B2BE58E2485A6D56_13</vt:lpwstr>
  </property>
</Properties>
</file>