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8AF24" w14:textId="32301DC3" w:rsidR="00AE4D63" w:rsidRPr="008F0004" w:rsidRDefault="008F0004" w:rsidP="008F0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uk-UA"/>
        </w:rPr>
        <w:t xml:space="preserve">Дифференцированный и индивидуальные подходы к обучению и воспитанию в СПО  </w:t>
      </w:r>
    </w:p>
    <w:p w14:paraId="3203D6A4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Современное развитие системы профессионального образования предопределяет изменения в работе образовательных учреждений в направлении использования новых образовательных и информационно-коммуникационных технологий. Профессиональная школа стоит сегодня перед необходимостью пересмотра форм и содержания обучения, методов профессионального развития специалистов среднего звена. Выстраивание для студентов образовательной траектории, принятой в развивающем обучении, должно стать нормой на всех ступенях обучения.</w:t>
      </w:r>
    </w:p>
    <w:p w14:paraId="584E0DE5" w14:textId="77777777" w:rsidR="0005504D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 настоящее время изменилось информационное пространство, увеличилась скорость получения и накопления информации. В современных условиях на первые позиции выходят не только качество знаний, но и быстрота их передачи, любому образовательному учреждению необходимо внедрять в свою практику информационные технологии обучения, интерактивные методы и методики.</w:t>
      </w:r>
    </w:p>
    <w:p w14:paraId="4577EC7F" w14:textId="77777777" w:rsidR="0005504D" w:rsidRPr="0011476C" w:rsidRDefault="0005504D" w:rsidP="0005504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F243E" w:themeColor="text2" w:themeShade="80"/>
          <w:kern w:val="36"/>
          <w:sz w:val="28"/>
          <w:szCs w:val="28"/>
          <w:lang w:eastAsia="ru-RU"/>
        </w:rPr>
      </w:pPr>
      <w:r w:rsidRPr="0011476C">
        <w:rPr>
          <w:rFonts w:ascii="Times New Roman" w:eastAsia="Times New Roman" w:hAnsi="Times New Roman" w:cs="Times New Roman"/>
          <w:color w:val="0F243E" w:themeColor="text2" w:themeShade="80"/>
          <w:kern w:val="36"/>
          <w:sz w:val="28"/>
          <w:szCs w:val="28"/>
          <w:lang w:eastAsia="ru-RU"/>
        </w:rPr>
        <w:t>Организация дистанционного обучения в СПО по специальным дисциплинам</w:t>
      </w:r>
    </w:p>
    <w:p w14:paraId="24B8A9F7" w14:textId="77777777" w:rsidR="0005504D" w:rsidRPr="00104F03" w:rsidRDefault="0005504D" w:rsidP="0005504D">
      <w:pPr>
        <w:pStyle w:val="a4"/>
        <w:jc w:val="both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</w:pPr>
      <w:r w:rsidRPr="0011476C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  <w:t>В настоящее время в систему профессионального образования активно внедряются дистанционные образовательные технологии (ДОТ). Они получают широкое распространение в силу информатизации современного общества, а также доступности широким массам населения с различными потребностями и возможностями.</w:t>
      </w:r>
    </w:p>
    <w:p w14:paraId="5B5D3CCC" w14:textId="77777777" w:rsidR="00104F03" w:rsidRPr="0005504D" w:rsidRDefault="00104F03" w:rsidP="00104F0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9D7C1C" wp14:editId="64AF26FF">
            <wp:extent cx="4994327" cy="3667125"/>
            <wp:effectExtent l="0" t="0" r="0" b="0"/>
            <wp:docPr id="6" name="Рисунок 6" descr="C:\Users\User\Pictures\Camera Roll\ЦМ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Camera Roll\ЦМК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194" cy="3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256AC" w14:textId="77777777" w:rsidR="00AE4D63" w:rsidRPr="00104F03" w:rsidRDefault="0005504D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  <w:t>Что же такое дистанционное обучение? Существует несколько определений:</w:t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ru-RU"/>
        </w:rPr>
        <w:br/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1. Дистанционное обучение – интерактивное взаимодействие как между преподавателем и обучающимися, так и между ними и интерактивным источником информационного ресурса (например, Web-сайта или Web-страницы), отражающее все присущие учебному процессу компоненты (цели, </w:t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  <w:lastRenderedPageBreak/>
        <w:t>содержание, методы, организационные формы, средства обучения), осуществляемое в условиях реализации средств ИКТ.</w:t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ru-RU"/>
        </w:rPr>
        <w:br/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  <w:t>2. Дистанционное обучение – является эффективным компонентом формирования современной образовательной среды, так как обеспечивает личностно-ориентированный, деятельностный и компетентностный подходы к обучению, обусловленные живым диалогом и сотворчеством педагога и обучающегося.</w:t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ru-RU"/>
        </w:rPr>
        <w:br/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  <w:t>3. Дистанционное обучение – тип обучения, основанный на образовательном взаимодействии удаленных друг от друга педагогов и обучающихся.</w:t>
      </w:r>
      <w:r w:rsidRPr="00104F03"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ru-RU"/>
        </w:rPr>
        <w:br/>
      </w:r>
      <w:r w:rsidR="00AE4D63"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Одна из основных задач, стоящая перед преподавательским коллективом медицинского колледжа, готовящего специалистов среднего звена, состоит не только в формировании у студентов необходимых профессиональных умений, но и в развитии профессионально – значимых качеств медицинских работников, их мировоззренческих позиций, стремления к профессиональному развитию.</w:t>
      </w:r>
    </w:p>
    <w:p w14:paraId="45F3C1ED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 связи с этим, является важным использовать в образовательном процессе д</w:t>
      </w:r>
      <w:r w:rsidR="0005504D"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истанционное обучение, которое </w:t>
      </w: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позволяет создать условия, при которых обучающиеся самостоятельно и с интересом приобретают знания, учатся решать разного рода задачи, выявлять</w:t>
      </w:r>
      <w:r w:rsidR="0005504D"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проблемы. Кроме этого, при помощи современных информационных и телекоммуникационных технологий, электронных образовательных ресурсов, соответствующих технологических средств можно актуализировать формирование необходимых общих (ОК) и профессиональных компетенций будущих медицинских работников.</w:t>
      </w:r>
    </w:p>
    <w:p w14:paraId="336378D7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При реализации дистанционных технологий, создаются педагогические условия, при которых обучающиеся могут:</w:t>
      </w:r>
    </w:p>
    <w:p w14:paraId="0A1F9E7C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• осуществлять поиск и использовать информацию, необходимую для эффективного выполнения профессиональных задач, профессионального и личностного развития (ОК 4);</w:t>
      </w:r>
    </w:p>
    <w:p w14:paraId="7A0FAE5F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• организовывать собственную деятельность, выбирать типовые методы и способы выполнения профессиональных задач, оценивать их эффективность и качество (ОК 2);</w:t>
      </w:r>
    </w:p>
    <w:p w14:paraId="46A15C9C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• принимать решения в стандартных и нестандартных ситуациях и нести за них ответственность (ОК 3);</w:t>
      </w:r>
    </w:p>
    <w:p w14:paraId="376AAE4E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• использовать информационно-коммуникационные технологии в профессиональной деятельности (ОК 5);</w:t>
      </w:r>
    </w:p>
    <w:p w14:paraId="12ADB3D1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• работать в коллективе и команде, эффективно общаться с коллегами, руководством, потребителями (ОК 6);</w:t>
      </w:r>
    </w:p>
    <w:p w14:paraId="2CD8055C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• брать на себя ответственность за работу членов команды (подчиненных), результат выполнения заданий (ОК 7).</w:t>
      </w:r>
    </w:p>
    <w:p w14:paraId="7652693E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С точки зрения компетентностного подхода применение дистанционных технологий и проектной деятельности позволяет также формировать у обучающихся значимые личностные качества для будущей профессиональной социализации, профессионального развития: системное мышление, толерантность, коммуникативная и психологическая </w:t>
      </w:r>
      <w:proofErr w:type="gramStart"/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культура..</w:t>
      </w:r>
      <w:proofErr w:type="gramEnd"/>
    </w:p>
    <w:p w14:paraId="529C7306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>Для образовательного учреждения медицинского профиля использование дистанционных технологий это возможность создать общую информационную среду с медицинскими организациями, и совместно с работодателями разработать и внедрить новые учебные программы. Среди большого разнообразия методов подготовки специалистов и образовательных технологий, используемых в системе среднего профессионального образования, дистанционное обучение позволяет решать проблему профессионального переобучения, реализовывать сокращенные образовательные программы, в соответствии с требованиями федеральных государственных образовательных стандартов и законодательством в области образования.</w:t>
      </w:r>
    </w:p>
    <w:p w14:paraId="56F57EA0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Опыт работы преподавателей дает основание считать, что дистанционное обучение – это современная технология, расширяющая возможности привлечения студентов к приобретению дополнительных знаний необходимых для профессионального развития. Использование дистанционных технологий можно представить и на примере проведения циклов повышения квалификации для медицинских работников. С помощью телекоммуникационных связей большее количество слушателей отделения повышения квалификации осваивают образовательные программы в полном объеме независимо от места своего проживания.</w:t>
      </w:r>
    </w:p>
    <w:p w14:paraId="2307AAFA" w14:textId="77777777" w:rsidR="00AE4D63" w:rsidRPr="00104F03" w:rsidRDefault="00AE4D63" w:rsidP="0005504D">
      <w:pPr>
        <w:pStyle w:val="a4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04F0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Таким образом, дистанционные технологии позволяют в короткие сроки совершенствовать знания и профессиональный опыт специалистов, обеспечивать профессиональное развитие студентов медицинского колледжа и их успешное трудоустройство.</w:t>
      </w:r>
    </w:p>
    <w:p w14:paraId="7836ED0B" w14:textId="77777777" w:rsidR="00046C37" w:rsidRDefault="00104F03" w:rsidP="00046C37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77E2F9" wp14:editId="484B383B">
            <wp:extent cx="4962525" cy="3635521"/>
            <wp:effectExtent l="0" t="0" r="0" b="3175"/>
            <wp:docPr id="7" name="Рисунок 7" descr="C:\Users\User\Pictures\Camera Roll\ЦМ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Camera Roll\ЦМК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385" cy="3634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0AFFC" w14:textId="77777777" w:rsidR="00AE4D63" w:rsidRDefault="00D800D1" w:rsidP="00104F03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0D1">
        <w:rPr>
          <w:rFonts w:ascii="Times New Roman" w:eastAsia="Times New Roman" w:hAnsi="Times New Roman" w:cs="Times New Roman"/>
          <w:b/>
          <w:i/>
          <w:color w:val="0F243E" w:themeColor="text2" w:themeShade="80"/>
          <w:sz w:val="28"/>
          <w:szCs w:val="28"/>
          <w:shd w:val="clear" w:color="auto" w:fill="FFFFFF"/>
          <w:lang w:eastAsia="ru-RU"/>
        </w:rPr>
        <w:lastRenderedPageBreak/>
        <w:t>В статье 16 Федерального закона РФ от 29 декабря 2012 г. №273-ФЗ «Об образовании в РФ» прописано как реализовать образовательных программы с применением электронного обучения и дистанционных образовательных технологий:</w:t>
      </w:r>
      <w:r w:rsidRPr="00D800D1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br/>
      </w:r>
      <w:r w:rsidR="00104F03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8B91E1B" wp14:editId="40C4B026">
            <wp:extent cx="4181475" cy="2991004"/>
            <wp:effectExtent l="0" t="0" r="0" b="0"/>
            <wp:docPr id="8" name="Рисунок 8" descr="C:\Users\User\Pictures\Camera Roll\цм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Camera Roll\цмк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488" cy="299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C5373" w14:textId="77777777" w:rsidR="00104F03" w:rsidRPr="00104F03" w:rsidRDefault="00104F03" w:rsidP="00104F03">
      <w:pPr>
        <w:jc w:val="both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shd w:val="clear" w:color="auto" w:fill="FFFFFF"/>
          <w:lang w:eastAsia="ru-RU"/>
        </w:rPr>
      </w:pPr>
    </w:p>
    <w:p w14:paraId="0B7A5B31" w14:textId="77777777" w:rsidR="0011476C" w:rsidRPr="00D800D1" w:rsidRDefault="00D800D1" w:rsidP="00114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8"/>
          <w:szCs w:val="28"/>
          <w:lang w:eastAsia="ru-RU"/>
        </w:rPr>
      </w:pPr>
      <w:proofErr w:type="spellStart"/>
      <w:proofErr w:type="gramStart"/>
      <w:r w:rsidRPr="00D800D1">
        <w:rPr>
          <w:rFonts w:ascii="Times New Roman" w:eastAsia="Times New Roman" w:hAnsi="Times New Roman" w:cs="Times New Roman"/>
          <w:b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Список</w:t>
      </w:r>
      <w:r w:rsidRPr="00D800D1">
        <w:rPr>
          <w:rFonts w:ascii="Times New Roman" w:eastAsia="Times New Roman" w:hAnsi="Times New Roman" w:cs="Times New Roman"/>
          <w:b/>
          <w:i/>
          <w:iCs/>
          <w:color w:val="FFFFFF" w:themeColor="background1"/>
          <w:sz w:val="28"/>
          <w:szCs w:val="28"/>
          <w:shd w:val="clear" w:color="auto" w:fill="FFFFFF"/>
          <w:lang w:eastAsia="ru-RU"/>
        </w:rPr>
        <w:t>..</w:t>
      </w:r>
      <w:r w:rsidRPr="00D800D1">
        <w:rPr>
          <w:rFonts w:ascii="Times New Roman" w:eastAsia="Times New Roman" w:hAnsi="Times New Roman" w:cs="Times New Roman"/>
          <w:b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использованной</w:t>
      </w:r>
      <w:r w:rsidRPr="00D800D1">
        <w:rPr>
          <w:rFonts w:ascii="Times New Roman" w:eastAsia="Times New Roman" w:hAnsi="Times New Roman" w:cs="Times New Roman"/>
          <w:b/>
          <w:i/>
          <w:iCs/>
          <w:color w:val="FFFFFF" w:themeColor="background1"/>
          <w:sz w:val="28"/>
          <w:szCs w:val="28"/>
          <w:shd w:val="clear" w:color="auto" w:fill="FFFFFF"/>
          <w:lang w:eastAsia="ru-RU"/>
        </w:rPr>
        <w:t>..</w:t>
      </w:r>
      <w:proofErr w:type="gramEnd"/>
      <w:r w:rsidR="0011476C" w:rsidRPr="00D800D1">
        <w:rPr>
          <w:rFonts w:ascii="Times New Roman" w:eastAsia="Times New Roman" w:hAnsi="Times New Roman" w:cs="Times New Roman"/>
          <w:b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литературы</w:t>
      </w:r>
      <w:proofErr w:type="spellEnd"/>
      <w:r w:rsidR="0011476C" w:rsidRPr="00D800D1">
        <w:rPr>
          <w:rFonts w:ascii="Times New Roman" w:eastAsia="Times New Roman" w:hAnsi="Times New Roman" w:cs="Times New Roman"/>
          <w:b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:</w:t>
      </w:r>
      <w:r w:rsidR="0011476C" w:rsidRPr="00D800D1">
        <w:rPr>
          <w:rFonts w:ascii="Times New Roman" w:eastAsia="Times New Roman" w:hAnsi="Times New Roman" w:cs="Times New Roman"/>
          <w:b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br/>
      </w:r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1. Волов, В.Т. Дистанционное образование: истоки, проблемы, перспективы / В.Т. Волов, Н.Ю. Волова, Л.Б. </w:t>
      </w:r>
      <w:proofErr w:type="spellStart"/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Четырова</w:t>
      </w:r>
      <w:proofErr w:type="spellEnd"/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. - Самара: Рос. Академия нау</w:t>
      </w:r>
      <w:r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к: Самарский научный центр, 2017</w:t>
      </w:r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. – </w:t>
      </w:r>
      <w:r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[1,137 с.]</w:t>
      </w:r>
      <w:r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br/>
        <w:t>Интернет-источники:</w:t>
      </w:r>
      <w:r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br/>
        <w:t>2</w:t>
      </w:r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Хелпикс.Орг</w:t>
      </w:r>
      <w:proofErr w:type="spellEnd"/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 - Интернет помощник, Дистанционные образовательные технологии [Электронный ресурс]. https://helpiks.or</w:t>
      </w:r>
      <w:r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g/5-91099.html (дата обращения:03.03.2020).</w:t>
      </w:r>
      <w:r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br/>
        <w:t>3</w:t>
      </w:r>
      <w:r w:rsidR="0011476C" w:rsidRPr="00D800D1">
        <w:rPr>
          <w:rFonts w:ascii="Times New Roman" w:eastAsia="Times New Roman" w:hAnsi="Times New Roman" w:cs="Times New Roman"/>
          <w:i/>
          <w:iCs/>
          <w:color w:val="0F243E" w:themeColor="text2" w:themeShade="80"/>
          <w:sz w:val="28"/>
          <w:szCs w:val="28"/>
          <w:shd w:val="clear" w:color="auto" w:fill="FFFFFF"/>
          <w:lang w:eastAsia="ru-RU"/>
        </w:rPr>
        <w:t>. Лагуткина О.А. Дистанционное обучение в системе среднего профессионального образования. Статья [Электронный ресурс]. https://multiurok.ru/files/distantsionnoie-obuchieniie-v-sistiemie-sriedniegh.html (дата обращения: 02.03.2020).</w:t>
      </w:r>
    </w:p>
    <w:p w14:paraId="7009164D" w14:textId="77777777" w:rsidR="00D800D1" w:rsidRPr="00D800D1" w:rsidRDefault="00D800D1" w:rsidP="00D800D1">
      <w:pPr>
        <w:pStyle w:val="a4"/>
        <w:jc w:val="both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eastAsia="ru-RU"/>
        </w:rPr>
      </w:pPr>
      <w:r w:rsidRPr="00D800D1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eastAsia="ru-RU"/>
        </w:rPr>
        <w:t>4.Библиографическая ссылка</w:t>
      </w:r>
    </w:p>
    <w:p w14:paraId="27A98E52" w14:textId="77777777" w:rsidR="00D800D1" w:rsidRPr="00D800D1" w:rsidRDefault="00D800D1" w:rsidP="00D800D1">
      <w:pPr>
        <w:pStyle w:val="a4"/>
        <w:jc w:val="both"/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shd w:val="clear" w:color="auto" w:fill="FFFFFF"/>
          <w:lang w:eastAsia="ru-RU"/>
        </w:rPr>
      </w:pPr>
      <w:r w:rsidRPr="00D800D1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Жукова Л.В, </w:t>
      </w:r>
      <w:proofErr w:type="spellStart"/>
      <w:r w:rsidRPr="00D800D1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shd w:val="clear" w:color="auto" w:fill="FFFFFF"/>
          <w:lang w:eastAsia="ru-RU"/>
        </w:rPr>
        <w:t>Шабарова</w:t>
      </w:r>
      <w:proofErr w:type="spellEnd"/>
      <w:r w:rsidRPr="00D800D1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 М.Н. Дистанционные технологии как способ профессионального развития студентов медицинского колледжа // Международный журнал экспериментального образования. – 2019. – № 12 – 3.–С.443–444;</w:t>
      </w:r>
      <w:r w:rsidRPr="00D800D1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lang w:eastAsia="ru-RU"/>
        </w:rPr>
        <w:br/>
      </w:r>
      <w:r w:rsidRPr="00D800D1">
        <w:rPr>
          <w:rFonts w:ascii="Times New Roman" w:hAnsi="Times New Roman" w:cs="Times New Roman"/>
          <w:i/>
          <w:color w:val="0F243E" w:themeColor="text2" w:themeShade="80"/>
          <w:sz w:val="28"/>
          <w:szCs w:val="28"/>
          <w:shd w:val="clear" w:color="auto" w:fill="FFFFFF"/>
          <w:lang w:eastAsia="ru-RU"/>
        </w:rPr>
        <w:t xml:space="preserve">URL: </w:t>
      </w:r>
      <w:hyperlink r:id="rId7" w:history="1">
        <w:r w:rsidRPr="00D800D1">
          <w:rPr>
            <w:rStyle w:val="a7"/>
            <w:rFonts w:ascii="Times New Roman" w:eastAsia="Times New Roman" w:hAnsi="Times New Roman" w:cs="Times New Roman"/>
            <w:i/>
            <w:color w:val="0F243E" w:themeColor="text2" w:themeShade="80"/>
            <w:sz w:val="28"/>
            <w:szCs w:val="28"/>
            <w:shd w:val="clear" w:color="auto" w:fill="FFFFFF"/>
            <w:lang w:eastAsia="ru-RU"/>
          </w:rPr>
          <w:t>http://expeducation.ru/ru/article/view?id=11024</w:t>
        </w:r>
      </w:hyperlink>
    </w:p>
    <w:p w14:paraId="2EC5AD7E" w14:textId="77777777" w:rsidR="0011476C" w:rsidRPr="00D800D1" w:rsidRDefault="0011476C" w:rsidP="0011476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1476C" w:rsidRPr="00D8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5F0"/>
    <w:rsid w:val="00046C37"/>
    <w:rsid w:val="0005504D"/>
    <w:rsid w:val="00104F03"/>
    <w:rsid w:val="0011476C"/>
    <w:rsid w:val="008042DC"/>
    <w:rsid w:val="008F0004"/>
    <w:rsid w:val="009B25F0"/>
    <w:rsid w:val="00AE4D63"/>
    <w:rsid w:val="00D07747"/>
    <w:rsid w:val="00D800D1"/>
    <w:rsid w:val="00ED128A"/>
    <w:rsid w:val="00F6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99ACE"/>
  <w15:docId w15:val="{24CE497A-933C-459E-AFDC-943321F7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5504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C3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04F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xpeducation.ru/ru/article/view?id=11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КМК Преподаватель</cp:lastModifiedBy>
  <cp:revision>9</cp:revision>
  <cp:lastPrinted>2021-06-07T12:30:00Z</cp:lastPrinted>
  <dcterms:created xsi:type="dcterms:W3CDTF">2021-06-07T11:16:00Z</dcterms:created>
  <dcterms:modified xsi:type="dcterms:W3CDTF">2025-04-01T07:30:00Z</dcterms:modified>
</cp:coreProperties>
</file>