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D00A8" w14:textId="144365C4" w:rsidR="00D76A8A" w:rsidRPr="00D76A8A" w:rsidRDefault="00D76A8A" w:rsidP="00D76A8A">
      <w:pPr>
        <w:keepNext/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Р</w:t>
      </w:r>
      <w:r w:rsidRPr="00D76A8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азвити</w:t>
      </w:r>
      <w:r w:rsidRPr="00D76A8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е</w:t>
      </w:r>
      <w:r w:rsidRPr="00D76A8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мышления у детей старшего дошкольного возраста с общим недоразвитием речи </w:t>
      </w:r>
      <w:r w:rsidRPr="00D76A8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>III</w:t>
      </w:r>
      <w:r w:rsidRPr="00D76A8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уровня</w:t>
      </w:r>
    </w:p>
    <w:p w14:paraId="20CF0081" w14:textId="77777777" w:rsidR="00D76A8A" w:rsidRPr="00D76A8A" w:rsidRDefault="00D76A8A" w:rsidP="00D76A8A">
      <w:pPr>
        <w:keepNext/>
        <w:widowControl w:val="0"/>
        <w:spacing w:after="0" w:line="240" w:lineRule="auto"/>
        <w:jc w:val="center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05315AD" w14:textId="12D1592A" w:rsidR="00D76A8A" w:rsidRPr="00D76A8A" w:rsidRDefault="00D76A8A" w:rsidP="00D76A8A">
      <w:pPr>
        <w:keepNext/>
        <w:widowControl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b/>
          <w:i/>
          <w:iCs/>
          <w:kern w:val="0"/>
          <w:sz w:val="28"/>
          <w:szCs w:val="28"/>
          <w14:ligatures w14:val="none"/>
        </w:rPr>
        <w:t>Гуськова</w:t>
      </w:r>
      <w:r w:rsidRPr="00D76A8A">
        <w:rPr>
          <w:rFonts w:ascii="Times New Roman" w:eastAsia="Calibri" w:hAnsi="Times New Roman" w:cs="Times New Roman"/>
          <w:b/>
          <w:i/>
          <w:iCs/>
          <w:kern w:val="0"/>
          <w:sz w:val="28"/>
          <w:szCs w:val="28"/>
          <w14:ligatures w14:val="none"/>
        </w:rPr>
        <w:t xml:space="preserve"> А.А.</w:t>
      </w:r>
    </w:p>
    <w:p w14:paraId="4DF7740B" w14:textId="1F422F6A" w:rsidR="00124B68" w:rsidRPr="00D76A8A" w:rsidRDefault="00124B68" w:rsidP="00124B68">
      <w:pPr>
        <w:keepNext/>
        <w:widowControl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>С</w:t>
      </w:r>
      <w:r w:rsidR="00D76A8A" w:rsidRPr="00D76A8A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>тудент</w:t>
      </w:r>
      <w:r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 xml:space="preserve">, </w:t>
      </w:r>
      <w:r w:rsidRPr="00D76A8A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>ФГБОУ ВО «Петрозаводский государственный университет»</w:t>
      </w:r>
      <w:r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 xml:space="preserve">, </w:t>
      </w:r>
      <w:r w:rsidRPr="00D76A8A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>г. Петрозаводск,</w:t>
      </w:r>
      <w:r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 xml:space="preserve"> Россия</w:t>
      </w:r>
    </w:p>
    <w:p w14:paraId="03DAFFB8" w14:textId="292BB5E5" w:rsidR="00124B68" w:rsidRDefault="00124B68" w:rsidP="00D76A8A">
      <w:pPr>
        <w:keepNext/>
        <w:widowControl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</w:pPr>
    </w:p>
    <w:p w14:paraId="4E736C42" w14:textId="39851E8D" w:rsidR="00D76A8A" w:rsidRPr="00D76A8A" w:rsidRDefault="00D76A8A" w:rsidP="00D76A8A">
      <w:pPr>
        <w:keepNext/>
        <w:widowControl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Стельмах Ю.Б.</w:t>
      </w:r>
    </w:p>
    <w:p w14:paraId="3D0CF4B9" w14:textId="6A3F7396" w:rsidR="00D76A8A" w:rsidRPr="00D76A8A" w:rsidRDefault="00D76A8A" w:rsidP="00D76A8A">
      <w:pPr>
        <w:keepNext/>
        <w:widowControl w:val="0"/>
        <w:spacing w:after="0" w:line="240" w:lineRule="auto"/>
        <w:jc w:val="right"/>
        <w:rPr>
          <w:rFonts w:ascii="Times New Roman" w:eastAsia="Calibri" w:hAnsi="Times New Roman" w:cs="Times New Roman"/>
          <w:i/>
          <w:color w:val="000000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>старший преподаватель кафедры психологии и педагогики ФГБОУ «Петрозаводский государственный университет»</w:t>
      </w:r>
      <w:r w:rsidR="00124B68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>,</w:t>
      </w:r>
      <w:r w:rsidR="00124B68" w:rsidRPr="00124B68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 xml:space="preserve"> </w:t>
      </w:r>
      <w:r w:rsidR="00124B68" w:rsidRPr="00D76A8A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>г. Петрозаводск,</w:t>
      </w:r>
      <w:r w:rsidR="00124B68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 xml:space="preserve"> </w:t>
      </w:r>
      <w:r w:rsidR="00124B68" w:rsidRPr="00124B68">
        <w:rPr>
          <w:rFonts w:ascii="Times New Roman" w:eastAsia="Calibri" w:hAnsi="Times New Roman" w:cs="Times New Roman"/>
          <w:b/>
          <w:bCs/>
          <w:i/>
          <w:color w:val="000000"/>
          <w:kern w:val="0"/>
          <w:sz w:val="28"/>
          <w:szCs w:val="28"/>
          <w14:ligatures w14:val="none"/>
        </w:rPr>
        <w:t>Россия</w:t>
      </w:r>
    </w:p>
    <w:p w14:paraId="2856243D" w14:textId="77777777" w:rsidR="00D76A8A" w:rsidRPr="00D76A8A" w:rsidRDefault="00D76A8A" w:rsidP="00D76A8A">
      <w:pPr>
        <w:keepNext/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14:ligatures w14:val="none"/>
        </w:rPr>
      </w:pPr>
    </w:p>
    <w:p w14:paraId="51261306" w14:textId="77777777" w:rsidR="00D76A8A" w:rsidRPr="00D76A8A" w:rsidRDefault="00D76A8A" w:rsidP="00D76A8A">
      <w:pPr>
        <w:keepNext/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kern w:val="0"/>
          <w:sz w:val="24"/>
          <w:szCs w:val="24"/>
          <w14:ligatures w14:val="none"/>
        </w:rPr>
      </w:pPr>
    </w:p>
    <w:p w14:paraId="3CB4A5AC" w14:textId="6168E6A9" w:rsidR="00D76A8A" w:rsidRPr="00D76A8A" w:rsidRDefault="00124B68" w:rsidP="00124B68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124B68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Аннотация. </w:t>
      </w:r>
      <w:r w:rsidR="00D76A8A" w:rsidRPr="00D76A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В статье рассматриваются особенности развития мышления детей с нарушениями речи. Представлено сравнение мышления детей с общим недоразвитием речи </w:t>
      </w:r>
      <w:r w:rsidR="00D76A8A" w:rsidRPr="00D76A8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t>III</w:t>
      </w:r>
      <w:r w:rsidR="00D76A8A" w:rsidRPr="00D76A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уровня и нормотипичных детей. </w:t>
      </w:r>
    </w:p>
    <w:p w14:paraId="79447ED0" w14:textId="77777777" w:rsidR="00D76A8A" w:rsidRPr="00D76A8A" w:rsidRDefault="00D76A8A" w:rsidP="00124B68">
      <w:pPr>
        <w:keepNext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i/>
          <w:color w:val="000000"/>
          <w:kern w:val="0"/>
          <w:sz w:val="28"/>
          <w:szCs w:val="28"/>
          <w14:ligatures w14:val="none"/>
        </w:rPr>
        <w:t>Ключевые слова:</w:t>
      </w:r>
      <w:r w:rsidRPr="00D76A8A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мышление, дошкольники с нарушением речи, общее недоразвитие речи, нормотипичные дети.</w:t>
      </w:r>
    </w:p>
    <w:p w14:paraId="53C1EEC4" w14:textId="77777777" w:rsidR="00D76A8A" w:rsidRPr="00D76A8A" w:rsidRDefault="00D76A8A" w:rsidP="00D76A8A">
      <w:pPr>
        <w:keepNext/>
        <w:widowControl w:val="0"/>
        <w:spacing w:after="0" w:line="240" w:lineRule="auto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6B6EFBDC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Изучение развития мышления у детей с общим недоразвитием речи крайне актуально в современных условиях. По данным статистики, количество детей с речевыми расстройствами продолжает расти. Это требует разработки эффективных методов и подходов к их обучению и развитию.</w:t>
      </w:r>
    </w:p>
    <w:p w14:paraId="5857F2CA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Нарушения речи всегда рассматривались в тесном контакте с умственным развитием ребенка. Не сформированность всех сторон речи, отражается у детей с нарушениями речи на развитии сенсорной, интеллектуальной и аффективно-волевой сфер. Нарушения речи оказывают огромное влияние на формирование всей психической деятельности ребёнка, как писала А. П. Воронова [1]. На фоне речевых нарушений отмечается нарушение мышления.</w:t>
      </w:r>
    </w:p>
    <w:p w14:paraId="6343CBAF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Наличие проблем с речью влияет на другие аспекты умственного развития, приводя к возникновению дополнительных сложностей. Даже если у детей есть все необходимые условия для освоения процессов мышления, таких как сравнение, классификация, анализ и синтез, они могут испытывать затруднения в развитии вербально-логического мышления и с трудом осваивать эти мыслительные процессы.</w:t>
      </w:r>
    </w:p>
    <w:p w14:paraId="22B250CB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Современные исследования выдвигают необходимость комплексного </w:t>
      </w: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подхода к коррекции речевых нарушений, который включает не только логопедическую работу, но и психолого-педагогическую поддержку. </w:t>
      </w:r>
    </w:p>
    <w:p w14:paraId="2DD246D3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Вышесказанное обуславливает важность изучения способов развития мышления у детей с нарушениями речи как в практическом, так и социальном плане. Исследование данной темы может привести к разработке новых методов и программ для поддержки детей с речевыми нарушениями.</w:t>
      </w:r>
    </w:p>
    <w:p w14:paraId="63325196" w14:textId="356668A4" w:rsidR="00D76A8A" w:rsidRPr="00D76A8A" w:rsidRDefault="00124B68" w:rsidP="0079339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9339C">
        <w:rPr>
          <w:rFonts w:ascii="Times New Roman" w:hAnsi="Times New Roman" w:cs="Times New Roman"/>
          <w:sz w:val="28"/>
          <w:szCs w:val="28"/>
        </w:rPr>
        <w:t xml:space="preserve">На базе детского </w:t>
      </w:r>
      <w:r w:rsidRPr="0079339C">
        <w:rPr>
          <w:rFonts w:ascii="Times New Roman" w:hAnsi="Times New Roman" w:cs="Times New Roman"/>
          <w:sz w:val="28"/>
          <w:szCs w:val="28"/>
          <w:lang w:eastAsia="ru-RU"/>
        </w:rPr>
        <w:t>МКДОУ Детский сад "Радуга" город Лахденпохья</w:t>
      </w:r>
      <w:r w:rsidRPr="0079339C">
        <w:rPr>
          <w:rFonts w:ascii="Times New Roman" w:hAnsi="Times New Roman" w:cs="Times New Roman"/>
          <w:sz w:val="28"/>
          <w:szCs w:val="28"/>
        </w:rPr>
        <w:t xml:space="preserve"> было </w:t>
      </w:r>
      <w:r w:rsidR="0079339C" w:rsidRPr="0079339C">
        <w:rPr>
          <w:rFonts w:ascii="Times New Roman" w:hAnsi="Times New Roman" w:cs="Times New Roman"/>
          <w:sz w:val="28"/>
          <w:szCs w:val="28"/>
        </w:rPr>
        <w:t>пр</w:t>
      </w:r>
      <w:r w:rsidR="0079339C">
        <w:rPr>
          <w:rFonts w:ascii="Times New Roman" w:hAnsi="Times New Roman" w:cs="Times New Roman"/>
          <w:sz w:val="28"/>
          <w:szCs w:val="28"/>
        </w:rPr>
        <w:t>о</w:t>
      </w:r>
      <w:r w:rsidR="0079339C" w:rsidRPr="0079339C">
        <w:rPr>
          <w:rFonts w:ascii="Times New Roman" w:hAnsi="Times New Roman" w:cs="Times New Roman"/>
          <w:sz w:val="28"/>
          <w:szCs w:val="28"/>
        </w:rPr>
        <w:t>ведено</w:t>
      </w:r>
      <w:r w:rsidRPr="0079339C">
        <w:rPr>
          <w:rFonts w:ascii="Times New Roman" w:hAnsi="Times New Roman" w:cs="Times New Roman"/>
          <w:sz w:val="28"/>
          <w:szCs w:val="28"/>
        </w:rPr>
        <w:t xml:space="preserve"> исследование, целью </w:t>
      </w:r>
      <w:r w:rsidR="0079339C" w:rsidRPr="0079339C">
        <w:rPr>
          <w:rFonts w:ascii="Times New Roman" w:hAnsi="Times New Roman" w:cs="Times New Roman"/>
          <w:sz w:val="28"/>
          <w:szCs w:val="28"/>
        </w:rPr>
        <w:t>которого</w:t>
      </w:r>
      <w:r w:rsidRPr="0079339C">
        <w:rPr>
          <w:rFonts w:ascii="Times New Roman" w:hAnsi="Times New Roman" w:cs="Times New Roman"/>
          <w:sz w:val="28"/>
          <w:szCs w:val="28"/>
        </w:rPr>
        <w:t xml:space="preserve"> стало </w:t>
      </w:r>
      <w:r w:rsidR="0079339C" w:rsidRPr="00D76A8A">
        <w:rPr>
          <w:rFonts w:ascii="Times New Roman" w:hAnsi="Times New Roman" w:cs="Times New Roman"/>
          <w:sz w:val="28"/>
          <w:szCs w:val="28"/>
          <w:lang w:eastAsia="ru-RU"/>
        </w:rPr>
        <w:t>изуче</w:t>
      </w:r>
      <w:r w:rsidR="0079339C" w:rsidRPr="0079339C">
        <w:rPr>
          <w:rFonts w:ascii="Times New Roman" w:hAnsi="Times New Roman" w:cs="Times New Roman"/>
          <w:sz w:val="28"/>
          <w:szCs w:val="28"/>
        </w:rPr>
        <w:t>ние</w:t>
      </w:r>
      <w:r w:rsidRPr="00D76A8A">
        <w:rPr>
          <w:rFonts w:ascii="Times New Roman" w:hAnsi="Times New Roman" w:cs="Times New Roman"/>
          <w:sz w:val="28"/>
          <w:szCs w:val="28"/>
          <w:lang w:eastAsia="ru-RU"/>
        </w:rPr>
        <w:t xml:space="preserve"> особенност</w:t>
      </w:r>
      <w:r w:rsidRPr="0079339C">
        <w:rPr>
          <w:rFonts w:ascii="Times New Roman" w:hAnsi="Times New Roman" w:cs="Times New Roman"/>
          <w:sz w:val="28"/>
          <w:szCs w:val="28"/>
        </w:rPr>
        <w:t>ей</w:t>
      </w:r>
      <w:r w:rsidRPr="00D76A8A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развития мышления детей старшего дошкольного возраста с общим недоразвитием речи 3 уровня.</w:t>
      </w:r>
      <w:r w:rsidR="00793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6A8A"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Методики исследования: </w:t>
      </w:r>
      <w:r w:rsidR="0079339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ч</w:t>
      </w:r>
      <w:r w:rsidR="00D76A8A"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етвертый лишний Л.Н. Белопольская</w:t>
      </w:r>
      <w:r w:rsidR="0079339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 т</w:t>
      </w:r>
      <w:r w:rsidR="00D76A8A"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ест «Нелепицы» для детей 5-7 лет (С.Д.Забрамная)</w:t>
      </w:r>
      <w:r w:rsidR="0079339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1C70D544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Характеристика выборки исследования: в исследовании приняли участие дети в возрасте 5-6 лет – дети с речевыми нарушениями (ОНР, 3 уровень) (экспериментальная группа) (8 человек) и дети с нормативным речевым развитием (8 человек) (контрольная группа). </w:t>
      </w:r>
    </w:p>
    <w:p w14:paraId="2FB24927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Представим результаты изучения особенностей мышления детей с речевыми нарушениями и нормотипичных детей. Оценка обобщения наглядного материала по методике «Четвертый лишний» Л.Н. Белопольская (рис 1).</w:t>
      </w:r>
    </w:p>
    <w:p w14:paraId="3DC5C032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w:drawing>
          <wp:inline distT="0" distB="0" distL="0" distR="0" wp14:anchorId="01B7A149" wp14:editId="78360B8D">
            <wp:extent cx="5082540" cy="1889760"/>
            <wp:effectExtent l="0" t="0" r="3810" b="15240"/>
            <wp:docPr id="4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6D80A2F6-258A-48B4-9DC8-F318C9F0620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66B203E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Рисунок 1 – Результаты оценки обобщения дошкольников контрольной и экспериментальной групп</w:t>
      </w:r>
    </w:p>
    <w:p w14:paraId="36C0E1CF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Из данных рисунка 1 видим, что дошкольники экспериментальной группы (с общим недоразвитием речи) показали более простые формы </w:t>
      </w: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обобщения (16,6%), стандартные обобщения (50%) и лишь 33,3% детей смогли  дифференцировать стандартные обобщения.</w:t>
      </w:r>
    </w:p>
    <w:p w14:paraId="20A3A2A2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bCs/>
          <w:iCs/>
          <w:kern w:val="0"/>
          <w:sz w:val="28"/>
          <w:szCs w:val="28"/>
          <w14:ligatures w14:val="none"/>
        </w:rPr>
        <w:t>Отметим, что дети с недоразвитием речи</w:t>
      </w:r>
      <w:r w:rsidRPr="00D76A8A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 xml:space="preserve"> </w:t>
      </w: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показали несостоятельность при предъявлении речевой инструкции, но они выполняли задание правильно после показа на одном-двух примерах. </w:t>
      </w:r>
    </w:p>
    <w:p w14:paraId="40A2F1ED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контрольной группе (нормотипичные дети) уровень обобщения выше. 33,3% детей умеют самостоятельно анализировать и выделять обобщающий признак с последующей его формулировкой в словесной форме. Также 33,3% дошкольников знакомы с функциями различных предметов и способны к сложным речевым формулировкам и объяснениям.</w:t>
      </w:r>
    </w:p>
    <w:p w14:paraId="4627D91B" w14:textId="4AF5A5BC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Выявление элементарных образных представлений ребёнка об окружающем мире по методике «Нелепицы» С.Д.Забрамная представлено на</w:t>
      </w:r>
      <w:r w:rsidR="0079339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</w:t>
      </w: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исунке 2.</w:t>
      </w:r>
    </w:p>
    <w:p w14:paraId="01C0A9A5" w14:textId="1FACB805" w:rsidR="00D76A8A" w:rsidRPr="00D76A8A" w:rsidRDefault="0079339C" w:rsidP="00124B68">
      <w:pPr>
        <w:keepNext/>
        <w:widowControl w:val="0"/>
        <w:spacing w:after="0" w:line="360" w:lineRule="auto"/>
        <w:ind w:left="142"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w:drawing>
          <wp:inline distT="0" distB="0" distL="0" distR="0" wp14:anchorId="401C6DE9" wp14:editId="33076580">
            <wp:extent cx="4625340" cy="2042160"/>
            <wp:effectExtent l="0" t="0" r="3810" b="15240"/>
            <wp:docPr id="5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43CB2B05-E7CC-48C0-8365-6927368E1DD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738C155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Рисунок 2 – Результаты оценки умения устанавливать логические связи дошкольников контрольной и экспериментальной групп</w:t>
      </w:r>
    </w:p>
    <w:p w14:paraId="375DC208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Анализ данных рисунка 2 показал, что уровень развития логики в контрольной группе дошкольников выше – в группе преобладает   высокий, очень высокий и нормативный уровень.</w:t>
      </w:r>
    </w:p>
    <w:p w14:paraId="22E989D2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экспериментальной группе ситуация иная – нормативные показатели были выявлены у 66,6% детей, а у 33,3%  - средний уровень. </w:t>
      </w:r>
    </w:p>
    <w:p w14:paraId="7458F9C1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Можем сказать, что  элементарные образные представления детей  контрольной группы об окружающем мире, логических связях и отношениях, существующих между некоторыми объектами мира; умение рассуждать </w:t>
      </w: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логически и грамматически правильно выражать свою мысль – выше, чем у детей экспериментальной группы.</w:t>
      </w:r>
    </w:p>
    <w:p w14:paraId="45C34757" w14:textId="77777777" w:rsidR="00D76A8A" w:rsidRPr="00D76A8A" w:rsidRDefault="00D76A8A" w:rsidP="00124B68">
      <w:pPr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Таким образом, сравнение мышления у детей с общим недоразвитием речи и детей с нормативным развитием речи показало, что у  детей с общим недоразвитием более простые формы обобщения, стандартные обобщения  и малая часть детей смогли  дифференцировать стандартные обобщения, средний уровень умения устанавливать логические связи, понятийное мышление также имеет средний уровень развития, так как дети с нарушением речи осуществляют объединение предметов по ситуативному и псевдопонятийному признакам. </w:t>
      </w:r>
    </w:p>
    <w:p w14:paraId="6F94B6C2" w14:textId="77777777" w:rsidR="00D76A8A" w:rsidRPr="00D76A8A" w:rsidRDefault="00D76A8A" w:rsidP="00124B68">
      <w:pPr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Практическая значимость исследования. Результаты исследования могут быть применимы в работе психологов, логопедов, воспитателей групп компенсирующей направленности, работающих с дошкольниками с ОВЗ.</w:t>
      </w:r>
    </w:p>
    <w:p w14:paraId="37342EBB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02A639F" w14:textId="77777777" w:rsidR="00D76A8A" w:rsidRPr="00D76A8A" w:rsidRDefault="00D76A8A" w:rsidP="00124B68">
      <w:pPr>
        <w:keepNext/>
        <w:widowControl w:val="0"/>
        <w:spacing w:after="0" w:line="360" w:lineRule="auto"/>
        <w:ind w:left="142" w:firstLine="709"/>
        <w:jc w:val="center"/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</w:pPr>
      <w:r w:rsidRPr="00D76A8A"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  <w:t>Библиографический список</w:t>
      </w:r>
    </w:p>
    <w:p w14:paraId="3229E821" w14:textId="66AE1D8A" w:rsidR="00D76A8A" w:rsidRPr="00D76A8A" w:rsidRDefault="00D76A8A" w:rsidP="00124B68">
      <w:pPr>
        <w:keepNext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left="142" w:firstLine="709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76A8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Волкова Г. А. Методика психолого-логопедического обследования детей с нарушениями речи. Вопросы дифференциальной диагностики</w:t>
      </w:r>
      <w:r w:rsidR="00BC6DC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/ Г.А. Волкова</w:t>
      </w:r>
      <w:r w:rsidRPr="00D76A8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– СПб. : Детство- пресс, 2003.- 144 с.</w:t>
      </w:r>
    </w:p>
    <w:p w14:paraId="0CBB0DD6" w14:textId="54D4872D" w:rsidR="00D76A8A" w:rsidRPr="00D76A8A" w:rsidRDefault="00D76A8A" w:rsidP="00124B68">
      <w:pPr>
        <w:keepNext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76A8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Воронова А. П. Состояние психических функций и процессов у детей с общим недоразвитием речи </w:t>
      </w:r>
      <w:r w:rsidR="00BC6DC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/ А.П. Воронова </w:t>
      </w:r>
      <w:r w:rsidRPr="00D76A8A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// Методы изучения и преодоления речевых расстройств: Межвуз. сб. науч. тр. / под ред. Г. А. Волковой. – СПб.: Образование, 1994 – С. 12-21.</w:t>
      </w:r>
    </w:p>
    <w:p w14:paraId="7F0E8808" w14:textId="7A000F41" w:rsidR="00D76A8A" w:rsidRPr="00D76A8A" w:rsidRDefault="00D76A8A" w:rsidP="00124B68">
      <w:pPr>
        <w:keepNext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76A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Жукова Н. С.</w:t>
      </w:r>
      <w:r w:rsidR="00BC6D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D76A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Логопедия. Преодоление общего недоразвития речи у дошкольников</w:t>
      </w:r>
      <w:r w:rsidR="00BC6D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/ Н.С. Жукова, Е.М. Мастюкова, Т.Б. Филичева</w:t>
      </w:r>
      <w:r w:rsidRPr="00D76A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– Екатеринбург : Изд-во «АРД ЛТД», 1998. – 320 с.</w:t>
      </w:r>
    </w:p>
    <w:p w14:paraId="63B3E632" w14:textId="5FA7C382" w:rsidR="003874CD" w:rsidRPr="0079339C" w:rsidRDefault="00D76A8A" w:rsidP="00316CDC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160" w:line="360" w:lineRule="auto"/>
        <w:ind w:left="142" w:firstLine="709"/>
        <w:contextualSpacing/>
        <w:jc w:val="both"/>
        <w:rPr>
          <w:sz w:val="28"/>
          <w:szCs w:val="28"/>
        </w:rPr>
      </w:pPr>
      <w:r w:rsidRPr="00D76A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Преснова О. В. Особенности словесно-логического мышления у детей 6-летнего возраста с общим недоразвитием речи </w:t>
      </w:r>
      <w:r w:rsidR="00BC6D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/ О.В. Преснова </w:t>
      </w:r>
      <w:r w:rsidRPr="00D76A8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// Ребёнок. Раннее выявление отклонений в развитии речи и их преодоление / под ред. Ю. Ф. Гаркуши. – М. ; Воронеж, 2001 – С. 104-111.</w:t>
      </w:r>
    </w:p>
    <w:sectPr w:rsidR="003874CD" w:rsidRPr="0079339C" w:rsidSect="00D76A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7687"/>
    <w:multiLevelType w:val="hybridMultilevel"/>
    <w:tmpl w:val="34B8BF58"/>
    <w:lvl w:ilvl="0" w:tplc="2A6A7D70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673267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A8A"/>
    <w:rsid w:val="000A19E1"/>
    <w:rsid w:val="00124B68"/>
    <w:rsid w:val="001B1F90"/>
    <w:rsid w:val="00336C65"/>
    <w:rsid w:val="003874CD"/>
    <w:rsid w:val="003D01DB"/>
    <w:rsid w:val="0049070A"/>
    <w:rsid w:val="0079339C"/>
    <w:rsid w:val="007E0AD2"/>
    <w:rsid w:val="00A26D15"/>
    <w:rsid w:val="00BC6DC8"/>
    <w:rsid w:val="00C340FE"/>
    <w:rsid w:val="00CD4954"/>
    <w:rsid w:val="00D7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0C129"/>
  <w15:chartTrackingRefBased/>
  <w15:docId w15:val="{246C7217-9DFA-4E6F-9E7D-0FE01DEF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C65"/>
  </w:style>
  <w:style w:type="paragraph" w:styleId="1">
    <w:name w:val="heading 1"/>
    <w:basedOn w:val="a"/>
    <w:next w:val="a"/>
    <w:link w:val="10"/>
    <w:uiPriority w:val="9"/>
    <w:qFormat/>
    <w:rsid w:val="003D01DB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color w:val="000000" w:themeColor="text1"/>
      <w:sz w:val="28"/>
      <w:szCs w:val="32"/>
      <w:lang w:eastAsia="ko-KR"/>
    </w:rPr>
  </w:style>
  <w:style w:type="paragraph" w:styleId="2">
    <w:name w:val="heading 2"/>
    <w:basedOn w:val="a"/>
    <w:next w:val="a"/>
    <w:link w:val="20"/>
    <w:uiPriority w:val="9"/>
    <w:unhideWhenUsed/>
    <w:qFormat/>
    <w:rsid w:val="0049070A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A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A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qFormat/>
    <w:rsid w:val="00C340FE"/>
    <w:rPr>
      <w:b/>
      <w:color w:val="auto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D01DB"/>
    <w:rPr>
      <w:rFonts w:ascii="Times New Roman" w:eastAsiaTheme="majorEastAsia" w:hAnsi="Times New Roman" w:cstheme="majorBidi"/>
      <w:color w:val="000000" w:themeColor="text1"/>
      <w:sz w:val="28"/>
      <w:szCs w:val="32"/>
      <w:lang w:eastAsia="ko-KR"/>
    </w:rPr>
  </w:style>
  <w:style w:type="character" w:customStyle="1" w:styleId="20">
    <w:name w:val="Заголовок 2 Знак"/>
    <w:basedOn w:val="a0"/>
    <w:link w:val="2"/>
    <w:uiPriority w:val="9"/>
    <w:rsid w:val="0049070A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customStyle="1" w:styleId="21">
    <w:name w:val="Стиль2"/>
    <w:basedOn w:val="1"/>
    <w:qFormat/>
    <w:rsid w:val="00C340FE"/>
    <w:rPr>
      <w:b/>
      <w:color w:val="auto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76A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A8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A8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A8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A8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A8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A8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76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A8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76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rsid w:val="00D76A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D76A8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A8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76A8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A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76A8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A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0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Лист1!$B$6</c:f>
              <c:strCache>
                <c:ptCount val="1"/>
                <c:pt idx="0">
                  <c:v>Экспериментальная группа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Лист1!$A$7:$A$11</c:f>
              <c:strCache>
                <c:ptCount val="5"/>
                <c:pt idx="0">
                  <c:v>простые обобщения</c:v>
                </c:pt>
                <c:pt idx="1">
                  <c:v>стандартные обобщения</c:v>
                </c:pt>
                <c:pt idx="2">
                  <c:v>дифференцированные стандартные обобщения</c:v>
                </c:pt>
                <c:pt idx="3">
                  <c:v>самостоятельный анализ и поиск обобщающего признака и формулировка его в словесной форме</c:v>
                </c:pt>
                <c:pt idx="4">
                  <c:v>различение предметов и способность к сложным речевым формулировкам и объяснениям</c:v>
                </c:pt>
              </c:strCache>
            </c:strRef>
          </c:cat>
          <c:val>
            <c:numRef>
              <c:f>Лист1!$B$7:$B$11</c:f>
              <c:numCache>
                <c:formatCode>0%</c:formatCode>
                <c:ptCount val="5"/>
                <c:pt idx="0" formatCode="0.0%">
                  <c:v>0.16600000000000001</c:v>
                </c:pt>
                <c:pt idx="1">
                  <c:v>0.5</c:v>
                </c:pt>
                <c:pt idx="2" formatCode="0.0%">
                  <c:v>0.33300000000000002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8E-445A-ADFE-8872BB65C168}"/>
            </c:ext>
          </c:extLst>
        </c:ser>
        <c:ser>
          <c:idx val="1"/>
          <c:order val="1"/>
          <c:tx>
            <c:strRef>
              <c:f>Лист1!$C$6</c:f>
              <c:strCache>
                <c:ptCount val="1"/>
                <c:pt idx="0">
                  <c:v>Контрольная группа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Лист1!$A$7:$A$11</c:f>
              <c:strCache>
                <c:ptCount val="5"/>
                <c:pt idx="0">
                  <c:v>простые обобщения</c:v>
                </c:pt>
                <c:pt idx="1">
                  <c:v>стандартные обобщения</c:v>
                </c:pt>
                <c:pt idx="2">
                  <c:v>дифференцированные стандартные обобщения</c:v>
                </c:pt>
                <c:pt idx="3">
                  <c:v>самостоятельный анализ и поиск обобщающего признака и формулировка его в словесной форме</c:v>
                </c:pt>
                <c:pt idx="4">
                  <c:v>различение предметов и способность к сложным речевым формулировкам и объяснениям</c:v>
                </c:pt>
              </c:strCache>
            </c:strRef>
          </c:cat>
          <c:val>
            <c:numRef>
              <c:f>Лист1!$C$7:$C$11</c:f>
              <c:numCache>
                <c:formatCode>0%</c:formatCode>
                <c:ptCount val="5"/>
                <c:pt idx="0">
                  <c:v>0</c:v>
                </c:pt>
                <c:pt idx="1">
                  <c:v>0</c:v>
                </c:pt>
                <c:pt idx="2" formatCode="0.0%">
                  <c:v>0.33300000000000002</c:v>
                </c:pt>
                <c:pt idx="3" formatCode="0.0%">
                  <c:v>0.33300000000000002</c:v>
                </c:pt>
                <c:pt idx="4" formatCode="0.0%">
                  <c:v>0.33300000000000002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18E-445A-ADFE-8872BB65C168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674642095"/>
        <c:axId val="782928543"/>
      </c:barChart>
      <c:catAx>
        <c:axId val="674642095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82928543"/>
        <c:crosses val="autoZero"/>
        <c:auto val="1"/>
        <c:lblAlgn val="ctr"/>
        <c:lblOffset val="100"/>
        <c:noMultiLvlLbl val="0"/>
      </c:catAx>
      <c:valAx>
        <c:axId val="782928543"/>
        <c:scaling>
          <c:orientation val="minMax"/>
        </c:scaling>
        <c:delete val="1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crossAx val="67464209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Лист1!$H$6</c:f>
              <c:strCache>
                <c:ptCount val="1"/>
                <c:pt idx="0">
                  <c:v>Экспериментальная группа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Лист1!$G$7:$G$12</c:f>
              <c:strCache>
                <c:ptCount val="6"/>
                <c:pt idx="0">
                  <c:v>очень высокий</c:v>
                </c:pt>
                <c:pt idx="1">
                  <c:v>высокий</c:v>
                </c:pt>
                <c:pt idx="2">
                  <c:v>норма</c:v>
                </c:pt>
                <c:pt idx="3">
                  <c:v>средний</c:v>
                </c:pt>
                <c:pt idx="4">
                  <c:v>низкий</c:v>
                </c:pt>
                <c:pt idx="5">
                  <c:v>очень низкий</c:v>
                </c:pt>
              </c:strCache>
            </c:strRef>
          </c:cat>
          <c:val>
            <c:numRef>
              <c:f>Лист1!$H$7:$H$12</c:f>
              <c:numCache>
                <c:formatCode>0%</c:formatCode>
                <c:ptCount val="6"/>
                <c:pt idx="0">
                  <c:v>0</c:v>
                </c:pt>
                <c:pt idx="1">
                  <c:v>0</c:v>
                </c:pt>
                <c:pt idx="2" formatCode="0.0%">
                  <c:v>0.66600000000000004</c:v>
                </c:pt>
                <c:pt idx="3" formatCode="0.0%">
                  <c:v>0.33300000000000002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70-4152-A389-6864AB53C8DC}"/>
            </c:ext>
          </c:extLst>
        </c:ser>
        <c:ser>
          <c:idx val="1"/>
          <c:order val="1"/>
          <c:tx>
            <c:strRef>
              <c:f>Лист1!$I$6</c:f>
              <c:strCache>
                <c:ptCount val="1"/>
                <c:pt idx="0">
                  <c:v>Контрольная группа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Лист1!$G$7:$G$12</c:f>
              <c:strCache>
                <c:ptCount val="6"/>
                <c:pt idx="0">
                  <c:v>очень высокий</c:v>
                </c:pt>
                <c:pt idx="1">
                  <c:v>высокий</c:v>
                </c:pt>
                <c:pt idx="2">
                  <c:v>норма</c:v>
                </c:pt>
                <c:pt idx="3">
                  <c:v>средний</c:v>
                </c:pt>
                <c:pt idx="4">
                  <c:v>низкий</c:v>
                </c:pt>
                <c:pt idx="5">
                  <c:v>очень низкий</c:v>
                </c:pt>
              </c:strCache>
            </c:strRef>
          </c:cat>
          <c:val>
            <c:numRef>
              <c:f>Лист1!$I$7:$I$12</c:f>
              <c:numCache>
                <c:formatCode>0.0%</c:formatCode>
                <c:ptCount val="6"/>
                <c:pt idx="0">
                  <c:v>0.33300000000000002</c:v>
                </c:pt>
                <c:pt idx="1">
                  <c:v>0.33300000000000002</c:v>
                </c:pt>
                <c:pt idx="2">
                  <c:v>0.33300000000000002</c:v>
                </c:pt>
                <c:pt idx="3" formatCode="0%">
                  <c:v>0</c:v>
                </c:pt>
                <c:pt idx="4" formatCode="0%">
                  <c:v>0</c:v>
                </c:pt>
                <c:pt idx="5" formatCode="0%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370-4152-A389-6864AB53C8DC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717780047"/>
        <c:axId val="787410959"/>
      </c:barChart>
      <c:catAx>
        <c:axId val="7177800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87410959"/>
        <c:crosses val="autoZero"/>
        <c:auto val="1"/>
        <c:lblAlgn val="ctr"/>
        <c:lblOffset val="100"/>
        <c:noMultiLvlLbl val="0"/>
      </c:catAx>
      <c:valAx>
        <c:axId val="787410959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71778004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Poljakov</dc:creator>
  <cp:keywords/>
  <dc:description/>
  <cp:lastModifiedBy>Ivan Poljakov</cp:lastModifiedBy>
  <cp:revision>2</cp:revision>
  <dcterms:created xsi:type="dcterms:W3CDTF">2025-04-10T07:56:00Z</dcterms:created>
  <dcterms:modified xsi:type="dcterms:W3CDTF">2025-04-10T08:15:00Z</dcterms:modified>
</cp:coreProperties>
</file>