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xlsx" ContentType="application/vnd.openxmlformats-officedocument.spreadsheetml.sheet"/>
  <Default Extension="png" ContentType="image/png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charts/chart3.xml" ContentType="application/vnd.openxmlformats-officedocument.drawingml.chart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charts/chart4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charts/chart12.xml" ContentType="application/vnd.openxmlformats-officedocument.drawingml.chart+xml"/>
  <Override PartName="/word/charts/chart13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spacing w:after="0" w:line="240" w:lineRule="auto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«Музыкально-дидактические игры,  как средство развития музыкальных способностей детей младшего дошкольного возраста»</w:t>
      </w:r>
    </w:p>
    <w:p w14:paraId="00000002">
      <w:pPr>
        <w:spacing w:after="0" w:line="240" w:lineRule="auto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</w:p>
    <w:p w14:paraId="0000000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  <w:t>Современная наука и практика признает младший возраст как период, в котором успешно развиваются первоначальные музыкальные способности детей. Великий русский физиолог В. М. Бехтерев доказал, что музыка очень рано влияет на организм младенца, и он уже в первые месяцы начинает на нее реагировать. Поэтому музыкальное развитие ребенка необходимо начинать очень рано и способствуют этому развитию музыкально-дидактические игры.</w:t>
      </w:r>
    </w:p>
    <w:p w14:paraId="0000000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  <w:t xml:space="preserve">Музыкально-дидактические игры соединяют такие образовательные области как художественно-эстетическую, познавательно-речевую, коммуникативно-личностную и физическую. </w:t>
      </w:r>
    </w:p>
    <w:p w14:paraId="0000000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  <w:t>«Игра- это искра, зажигающая огонек пытливости и любознательности», утверждал В.А.Сухомлинский</w:t>
      </w:r>
    </w:p>
    <w:p w14:paraId="0000000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  <w:t>Игра - естественный спутник жизни ребенка, источник радостных эмоций. Поэтому игры были и остаются традиционным средством педагогики.</w:t>
      </w:r>
    </w:p>
    <w:p w14:paraId="0000000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  <w:t>Игра всегда вызывает у детей приподнятое настроение, формирует устойчивое заинтересованное отношение к занятию.</w:t>
      </w:r>
    </w:p>
    <w:p w14:paraId="0000000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  <w:t>Несформированность  осознанного отношения к музыкальным видам деятельности (пению, слушанию, музыкально-ритмическим движениям, игре на детских музыкальных инструментах ) предполагает необходимость создания условий для полноценного формирования  музыкальных способностей младшего дошкольника с учетом его возрастных и индивидуальных особенностей. И, главное, правильно организовать процесс музыкального развития с помощью музыкально-дидактических игр  и упражнений, учитывая изменение возрастных ступеней.</w:t>
      </w:r>
    </w:p>
    <w:p w14:paraId="0000000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  <w:t>М.Ю. Кистяковская отметила значение потребности у детей младшего возраста в зрительных, слуховых, тактильных впечатлениях и движениях. Удовлетворение сенсомоторной потребности вызывает у ребенка интерес к окружающему миру. Двигательная активность способствует быстрому физическому и умственному развитию детей раннего возраста.</w:t>
      </w:r>
    </w:p>
    <w:p w14:paraId="0000000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  <w:t xml:space="preserve">Обычно в двухлетнем возрасте дети начинают посещать дошкольное учреждение, и наиболее важной задачей является успешная адаптация ребенка в детском саду. В соответствии с ней  музыкально-дидактические игры направлены на развитие коммуникативных качеств : умения общаться со сверстниками, выполнять вместе со всеми простые движения,  исполнять ( подпевать) песенки, обыгрывать с помощью жестов попевки и небольшие  стихотворения. </w:t>
      </w:r>
    </w:p>
    <w:p w14:paraId="0000000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360" w:lineRule="auto"/>
        <w:ind w:left="0" w:right="0" w:firstLine="0"/>
        <w:jc w:val="both"/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</w:pPr>
      <w:r>
        <w:rPr>
          <w:rFonts w:ascii="Times New Roman" w:cs="Times New Roman" w:hAnsi="Times New Roman"/>
          <w:color w:val="000000"/>
          <w:sz w:val="28"/>
          <w:szCs w:val="28"/>
          <w:lang w:val="ru-RU" w:bidi="ar-SA" w:eastAsia="ru-RU"/>
        </w:rPr>
        <w:t>Использование музыкально-дидактических игр помогает последовательному развитию эмоционального восприятия музыки, певческих интонаций , элементарной ритмичности движений под музыку, то есть рассматриваются предпосылки активных проявлений детей в разных видах музыкальной деятельности, развитие у них ориентировки в музыкальных явлениях, осознанность ими действий  на музыкальных занятиях.</w:t>
      </w:r>
    </w:p>
    <w:p w14:paraId="0000000C">
      <w:pPr>
        <w:spacing w:after="0" w:line="360" w:lineRule="auto"/>
        <w:jc w:val="both"/>
        <w:rPr>
          <w:rFonts w:ascii="Times New Roman" w:cs="Times New Roman" w:hAnsi="Times New Roman"/>
          <w:b w:val="off"/>
          <w:bCs w:val="off"/>
          <w:sz w:val="28"/>
          <w:szCs w:val="28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</w:rPr>
        <w:t>В младшем дошкольном возрасте  музыкально-дидактические игры используются не только на занятиях, они включаются в различные моменты жизни детей: в развлечения , на прогулке, в группе с воспитателем ,в семье, в свободное время . Первоначальные музыкальные проявления у малышей еще неустойчивы . Поэтому взрослый поддерживает у них интерес к музыкальной игрушке, к некоторым детским инструментам,  показывает, как ими пользоваться .</w:t>
      </w:r>
    </w:p>
    <w:p w14:paraId="0000000D">
      <w:pPr>
        <w:spacing w:after="0" w:line="360" w:lineRule="auto"/>
        <w:jc w:val="both"/>
        <w:rPr>
          <w:rFonts w:ascii="Times New Roman" w:cs="Times New Roman" w:hAnsi="Times New Roman"/>
          <w:b w:val="off"/>
          <w:bCs w:val="off"/>
          <w:sz w:val="28"/>
          <w:szCs w:val="28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</w:rPr>
        <w:t>Дети привлекаются к активному участию в развлечениях  : поют знакомые песни, которые</w:t>
      </w:r>
    </w:p>
    <w:p w14:paraId="0000000E">
      <w:pPr>
        <w:spacing w:after="0" w:line="360" w:lineRule="auto"/>
        <w:jc w:val="both"/>
        <w:rPr>
          <w:rFonts w:ascii="Times New Roman" w:cs="Times New Roman" w:hAnsi="Times New Roman"/>
          <w:b w:val="off"/>
          <w:bCs w:val="off"/>
          <w:sz w:val="28"/>
          <w:szCs w:val="28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</w:rPr>
        <w:t>присутствуют в игре, активно воспроизводят звукоподражания, выполняют доступные действия, получая от происходящего положительные эмоции и радость.</w:t>
      </w:r>
    </w:p>
    <w:p w14:paraId="0000000F">
      <w:pPr>
        <w:spacing w:after="0" w:line="360" w:lineRule="auto"/>
        <w:jc w:val="both"/>
        <w:rPr>
          <w:rFonts w:ascii="Times New Roman" w:cs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hAnsi="Times New Roman"/>
          <w:b w:val="off"/>
          <w:bCs w:val="off"/>
          <w:sz w:val="28"/>
          <w:szCs w:val="28"/>
        </w:rPr>
        <w:t>Таким образом, музыкально-дидактические игры, объединяя все виды музыкальной деятельности : пение, слушание, музыкально-ритмические движения  , создают благоприятные условия для формирования музыкальных способностей малышей. Воспитывается интерес к музыке, желание слушать музыку и подпевать , выполнять простейшие танцевальные движения .</w:t>
      </w:r>
    </w:p>
    <w:p w14:paraId="00000010">
      <w:pPr>
        <w:pStyle w:val="C1"/>
        <w:spacing w:before="0" w:after="0" w:line="360"/>
        <w:jc w:val="both"/>
        <w:rPr>
          <w:rStyle w:val="C4"/>
          <w:rFonts w:ascii="Times New Roman" w:cs="Times New Roman" w:hAnsi="Times New Roman"/>
          <w:b w:val="off"/>
          <w:bCs w:val="off"/>
          <w:color w:val="000000" w:themeColor="text1"/>
          <w:sz w:val="28"/>
          <w:szCs w:val="28"/>
        </w:rPr>
      </w:pPr>
      <w:r>
        <w:rPr>
          <w:rStyle w:val="C4"/>
          <w:rFonts w:ascii="Times New Roman" w:cs="Times New Roman" w:hAnsi="Times New Roman"/>
          <w:b w:val="off"/>
          <w:bCs w:val="off"/>
          <w:color w:val="000000" w:themeColor="text1"/>
          <w:sz w:val="28"/>
          <w:szCs w:val="28"/>
        </w:rPr>
        <w:t>При определении значимости использования музыкально-дидактических игр в обучении дошкольников и анализе сценарных планов, становится ясно, что если в процессе музыкальной деятельности будут развиваться музыкально-сенсорные способности у всех детей без исключения это не пройдет бесследно для их последующего музыкально развития. Поэтому развивающая функция музыкально-дидактических игр очень важна.</w:t>
      </w:r>
    </w:p>
    <w:p w14:paraId="00000011">
      <w:pPr>
        <w:pStyle w:val="C1"/>
        <w:spacing w:before="0" w:after="0" w:line="360"/>
        <w:jc w:val="both"/>
        <w:rPr>
          <w:rStyle w:val="C4"/>
          <w:rFonts w:ascii="Times New Roman" w:cs="Times New Roman" w:hAnsi="Times New Roman"/>
          <w:b w:val="off"/>
          <w:bCs w:val="off"/>
          <w:color w:val="000000" w:themeColor="text1"/>
          <w:sz w:val="28"/>
          <w:szCs w:val="28"/>
        </w:rPr>
      </w:pPr>
      <w:r>
        <w:rPr>
          <w:rStyle w:val="C4"/>
          <w:rFonts w:ascii="Times New Roman" w:cs="Times New Roman" w:hAnsi="Times New Roman"/>
          <w:b w:val="off"/>
          <w:bCs w:val="off"/>
          <w:color w:val="000000" w:themeColor="text1"/>
          <w:sz w:val="28"/>
          <w:szCs w:val="28"/>
        </w:rPr>
        <w:t>Предлагаемые музыкально-дидактические игры, способствуют развитию не только музыкально-сенсорных способностей, но и творческих.</w:t>
      </w:r>
    </w:p>
    <w:p w14:paraId="00000012">
      <w:pPr>
        <w:pStyle w:val="C1"/>
        <w:spacing w:before="0" w:after="0" w:line="360"/>
        <w:jc w:val="both"/>
        <w:rPr>
          <w:rStyle w:val="C4"/>
          <w:rFonts w:ascii="Times New Roman" w:cs="Times New Roman" w:hAnsi="Times New Roman"/>
          <w:b w:val="off"/>
          <w:bCs w:val="off"/>
          <w:color w:val="000000" w:themeColor="text1"/>
          <w:sz w:val="28"/>
          <w:szCs w:val="28"/>
        </w:rPr>
      </w:pPr>
      <w:r>
        <w:rPr>
          <w:rStyle w:val="C4"/>
          <w:rFonts w:ascii="Times New Roman" w:cs="Times New Roman" w:hAnsi="Times New Roman"/>
          <w:b w:val="off"/>
          <w:bCs w:val="off"/>
          <w:color w:val="000000" w:themeColor="text1"/>
          <w:sz w:val="28"/>
          <w:szCs w:val="28"/>
        </w:rPr>
        <w:t>При проведении данных игр необходим наглядный вспомогательный музыкальный материал который позволит в простой доступной игровой форме дать детям представление о свойствах музыкального звука, о выразительных возможностях музыки, научить различать характер музыки, настроение, предаваемое ею.</w:t>
      </w:r>
    </w:p>
    <w:p w14:paraId="00000013">
      <w:pPr>
        <w:pStyle w:val="C1"/>
        <w:spacing w:before="0" w:after="0" w:line="360"/>
        <w:jc w:val="both"/>
        <w:rPr>
          <w:rStyle w:val="C4"/>
          <w:rFonts w:ascii="Times New Roman" w:cs="Times New Roman" w:hAnsi="Times New Roman"/>
          <w:b w:val="off"/>
          <w:bCs w:val="off"/>
          <w:color w:val="000000" w:themeColor="text1"/>
          <w:sz w:val="28"/>
          <w:szCs w:val="28"/>
        </w:rPr>
      </w:pPr>
      <w:r>
        <w:rPr>
          <w:rStyle w:val="C4"/>
          <w:rFonts w:ascii="Times New Roman" w:cs="Times New Roman" w:hAnsi="Times New Roman"/>
          <w:b w:val="off"/>
          <w:bCs w:val="off"/>
          <w:color w:val="000000" w:themeColor="text1"/>
          <w:sz w:val="28"/>
          <w:szCs w:val="28"/>
        </w:rPr>
        <w:t>Необходимо вызвать интерес, активность у детей, развить самостоятельность в музыкальной деятельности, которая приобретает творческий характер.</w:t>
      </w:r>
    </w:p>
    <w:p w14:paraId="00000014">
      <w:pPr>
        <w:pStyle w:val="C1"/>
        <w:spacing w:before="0" w:after="0" w:line="360"/>
        <w:jc w:val="both"/>
        <w:rPr>
          <w:rStyle w:val="C4"/>
          <w:rFonts w:ascii="Times New Roman" w:cs="Times New Roman" w:hAnsi="Times New Roman"/>
          <w:b w:val="off"/>
          <w:bCs w:val="off"/>
          <w:color w:val="000000" w:themeColor="text1"/>
          <w:sz w:val="28"/>
          <w:szCs w:val="28"/>
        </w:rPr>
      </w:pPr>
      <w:r>
        <w:rPr>
          <w:rStyle w:val="C4"/>
          <w:rFonts w:ascii="Times New Roman" w:cs="Times New Roman" w:hAnsi="Times New Roman"/>
          <w:b w:val="off"/>
          <w:bCs w:val="off"/>
          <w:color w:val="000000" w:themeColor="text1"/>
          <w:sz w:val="28"/>
          <w:szCs w:val="28"/>
        </w:rPr>
        <w:t>Данные игры рекомендованы для использования его в детских дошкольных образовательных учреждениях, как на музыкальном занятии, так и в индивидуальной работе по музыкальному воспитанию.</w:t>
      </w:r>
    </w:p>
    <w:p w14:paraId="00000015">
      <w:pPr>
        <w:pStyle w:val="C1"/>
        <w:spacing w:before="0" w:after="0" w:line="360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Style w:val="C4"/>
          <w:rFonts w:ascii="Times New Roman" w:cs="Times New Roman" w:hAnsi="Times New Roman"/>
          <w:b w:val="off"/>
          <w:bCs w:val="off"/>
          <w:color w:val="000000" w:themeColor="text1"/>
          <w:sz w:val="28"/>
          <w:szCs w:val="28"/>
        </w:rPr>
        <w:t>Именно дошкольный возраст чрезвычайно важен для развития общих музыкальных способностей ребенка, в том числе и музыкально-сенсорных. И развитие этих способностей у каждого ребенка должно быть постоянно в поле зрения у воспитателя, музыкально руководителя, осуществляться различными методами и средствами. И музыкально-дидактические игры являются очень важным и действенным средством.</w:t>
      </w: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0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cc"/>
    <w:family w:val="roman"/>
    <w:pitch w:val="variable"/>
    <w:sig w:usb0="00000000" w:usb1="4000004b" w:usb2="00000000" w:usb3="00000000" w:csb0="0000009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  <w:font w:name="pt sans">
    <w:charset w:val="00"/>
  </w:font>
  <w:font w:name="Segoe UI">
    <w:charset w:val="00"/>
  </w:font>
  <w:font w:name="var(--bs-font-sans-serif)">
    <w:charset w:val="00"/>
  </w:font>
  <w:font w:name="arial">
    <w:charset w:val="00"/>
  </w:font>
  <w:font w:name="georgia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35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95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555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 w:tentative="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3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9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5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multiLevelType w:val="hybridMultilevel"/>
    <w:lvl w:ilvl="0" w:tentative="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15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75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35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33">
    <w:multiLevelType w:val="hybridMultilevel"/>
    <w:lvl w:ilvl="0" w:tentative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3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36">
    <w:multiLevelType w:val="hybridMultilevel"/>
    <w:lvl w:ilvl="0" w:tentative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3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39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4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4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4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4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4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4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4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47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4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49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5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5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52">
    <w:multiLevelType w:val="hybridMultilevel"/>
    <w:lvl w:ilvl="0" w:tentative="0">
      <w:start w:val="1"/>
      <w:numFmt w:val="bullet"/>
      <w:lvlText w:val="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53">
    <w:multiLevelType w:val="hybridMultilevel"/>
    <w:lvl w:ilvl="0" w:tentative="0">
      <w:start w:val="1"/>
      <w:numFmt w:val="bullet"/>
      <w:lvlText w:val="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54">
    <w:multiLevelType w:val="hybridMultilevel"/>
    <w:lvl w:ilvl="0" w:tentative="0">
      <w:start w:val="1"/>
      <w:numFmt w:val="bullet"/>
      <w:lvlText w:val=""/>
      <w:lvlJc w:val="left"/>
      <w:pPr>
        <w:ind w:left="720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cs="Wingdings" w:hAnsi="Wingdings" w:hint="default"/>
      </w:rPr>
    </w:lvl>
  </w:abstractNum>
  <w:abstractNum w:abstractNumId="55">
    <w:multiLevelType w:val="hybridMultilevel"/>
    <w:lvl w:ilvl="0" w:tentative="0">
      <w:start w:val="1"/>
      <w:numFmt w:val="bullet"/>
      <w:lvlText w:val=""/>
      <w:lvlJc w:val="left"/>
      <w:pPr>
        <w:ind w:left="795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ind w:left="1515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235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ind w:left="2955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ind w:left="3675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95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ind w:left="5115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ind w:left="5835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555" w:hanging="360"/>
      </w:pPr>
      <w:rPr>
        <w:rFonts w:ascii="Wingdings" w:cs="Wingdings" w:hAnsi="Wingdings" w:hint="default"/>
      </w:rPr>
    </w:lvl>
  </w:abstractNum>
  <w:abstractNum w:abstractNumId="56">
    <w:multiLevelType w:val="hybridMultilevel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multiLevelType w:val="hybridMultilevel"/>
    <w:lvl w:ilvl="0" w:tentative="0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11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71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31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6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  <w:rPr/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  <w:rPr/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  <w:rPr/>
    </w:lvl>
  </w:abstractNum>
  <w:abstractNum w:abstractNumId="63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  <w:rPr/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  <w:rPr/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  <w:rPr/>
    </w:lvl>
  </w:abstractNum>
  <w:abstractNum w:abstractNumId="64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  <w:rPr/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  <w:rPr/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  <w:rPr/>
    </w:lvl>
  </w:abstractNum>
  <w:abstractNum w:abstractNumId="65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  <w:rPr/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  <w:rPr/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  <w:rPr/>
    </w:lvl>
  </w:abstractNum>
  <w:abstractNum w:abstractNumId="66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7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8">
    <w:multiLevelType w:val="hybridMultilevel"/>
    <w:lvl w:ilvl="0" w:tentative="0">
      <w:start w:val="1"/>
      <w:numFmt w:val="bullet"/>
      <w:isLgl w:val="off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22"/>
  </w:num>
  <w:num w:numId="3">
    <w:abstractNumId w:val="6"/>
  </w:num>
  <w:num w:numId="4">
    <w:abstractNumId w:val="29"/>
  </w:num>
  <w:num w:numId="5">
    <w:abstractNumId w:val="4"/>
  </w:num>
  <w:num w:numId="6">
    <w:abstractNumId w:val="20"/>
  </w:num>
  <w:num w:numId="7">
    <w:abstractNumId w:val="5"/>
  </w:num>
  <w:num w:numId="8">
    <w:abstractNumId w:val="19"/>
  </w:num>
  <w:num w:numId="9">
    <w:abstractNumId w:val="18"/>
  </w:num>
  <w:num w:numId="10">
    <w:abstractNumId w:val="3"/>
  </w:num>
  <w:num w:numId="11">
    <w:abstractNumId w:val="8"/>
  </w:num>
  <w:num w:numId="12">
    <w:abstractNumId w:val="7"/>
  </w:num>
  <w:num w:numId="13">
    <w:abstractNumId w:val="17"/>
  </w:num>
  <w:num w:numId="14">
    <w:abstractNumId w:val="12"/>
  </w:num>
  <w:num w:numId="15">
    <w:abstractNumId w:val="13"/>
  </w:num>
  <w:num w:numId="16">
    <w:abstractNumId w:val="30"/>
  </w:num>
  <w:num w:numId="17">
    <w:abstractNumId w:val="31"/>
  </w:num>
  <w:num w:numId="18">
    <w:abstractNumId w:val="9"/>
  </w:num>
  <w:num w:numId="19">
    <w:abstractNumId w:val="28"/>
  </w:num>
  <w:num w:numId="20">
    <w:abstractNumId w:val="16"/>
  </w:num>
  <w:num w:numId="21">
    <w:abstractNumId w:val="1"/>
  </w:num>
  <w:num w:numId="22">
    <w:abstractNumId w:val="24"/>
  </w:num>
  <w:num w:numId="23">
    <w:abstractNumId w:val="14"/>
  </w:num>
  <w:num w:numId="24">
    <w:abstractNumId w:val="21"/>
  </w:num>
  <w:num w:numId="25">
    <w:abstractNumId w:val="0"/>
  </w:num>
  <w:num w:numId="26">
    <w:abstractNumId w:val="11"/>
  </w:num>
  <w:num w:numId="27">
    <w:abstractNumId w:val="25"/>
  </w:num>
  <w:num w:numId="28">
    <w:abstractNumId w:val="27"/>
  </w:num>
  <w:num w:numId="29">
    <w:abstractNumId w:val="26"/>
  </w:num>
  <w:num w:numId="30">
    <w:abstractNumId w:val="2"/>
  </w:num>
  <w:num w:numId="31">
    <w:abstractNumId w:val="15"/>
  </w:num>
  <w:num w:numId="32">
    <w:abstractNumId w:val="23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6FDD"/>
    <w:rsid w:val="0000203E"/>
    <w:rsid w:val="000066B4"/>
    <w:rsid w:val="000157FA"/>
    <w:rsid w:val="000205D8"/>
    <w:rsid w:val="000372D5"/>
    <w:rsid w:val="00054732"/>
    <w:rsid w:val="00070D57"/>
    <w:rsid w:val="00074C7D"/>
    <w:rsid w:val="00086FF5"/>
    <w:rsid w:val="00094727"/>
    <w:rsid w:val="00097809"/>
    <w:rsid w:val="000B5BCD"/>
    <w:rsid w:val="000B73BD"/>
    <w:rsid w:val="000C2180"/>
    <w:rsid w:val="000C5667"/>
    <w:rsid w:val="000C670D"/>
    <w:rsid w:val="000D2448"/>
    <w:rsid w:val="000D4E0C"/>
    <w:rsid w:val="000D517D"/>
    <w:rsid w:val="000E3548"/>
    <w:rsid w:val="000F3FE8"/>
    <w:rsid w:val="000F6B2B"/>
    <w:rsid w:val="00100A25"/>
    <w:rsid w:val="00103503"/>
    <w:rsid w:val="0010456D"/>
    <w:rsid w:val="001229B7"/>
    <w:rsid w:val="00122E65"/>
    <w:rsid w:val="00130BFD"/>
    <w:rsid w:val="001541CB"/>
    <w:rsid w:val="001573F4"/>
    <w:rsid w:val="00184F04"/>
    <w:rsid w:val="001959A7"/>
    <w:rsid w:val="001A04F4"/>
    <w:rsid w:val="001A315F"/>
    <w:rsid w:val="001A6B95"/>
    <w:rsid w:val="001B1B8A"/>
    <w:rsid w:val="001C6698"/>
    <w:rsid w:val="001D4240"/>
    <w:rsid w:val="001F496A"/>
    <w:rsid w:val="002138DF"/>
    <w:rsid w:val="00217488"/>
    <w:rsid w:val="0021763A"/>
    <w:rsid w:val="002239A1"/>
    <w:rsid w:val="00230BAB"/>
    <w:rsid w:val="00235F96"/>
    <w:rsid w:val="00271B55"/>
    <w:rsid w:val="002A1F4A"/>
    <w:rsid w:val="002B6A6A"/>
    <w:rsid w:val="002C67D1"/>
    <w:rsid w:val="002D046B"/>
    <w:rsid w:val="002E0CD5"/>
    <w:rsid w:val="002F39A2"/>
    <w:rsid w:val="002F5DAA"/>
    <w:rsid w:val="00302662"/>
    <w:rsid w:val="00302A58"/>
    <w:rsid w:val="00304534"/>
    <w:rsid w:val="00310A96"/>
    <w:rsid w:val="00321BAD"/>
    <w:rsid w:val="00340D16"/>
    <w:rsid w:val="0035504E"/>
    <w:rsid w:val="00363082"/>
    <w:rsid w:val="003668F3"/>
    <w:rsid w:val="003800CD"/>
    <w:rsid w:val="0038088B"/>
    <w:rsid w:val="00387672"/>
    <w:rsid w:val="003904AE"/>
    <w:rsid w:val="0039233E"/>
    <w:rsid w:val="003A0C8D"/>
    <w:rsid w:val="003B0515"/>
    <w:rsid w:val="003B0A89"/>
    <w:rsid w:val="003D1A74"/>
    <w:rsid w:val="003F0FE3"/>
    <w:rsid w:val="00407DA7"/>
    <w:rsid w:val="00425234"/>
    <w:rsid w:val="00441919"/>
    <w:rsid w:val="00447F7E"/>
    <w:rsid w:val="004543AD"/>
    <w:rsid w:val="00460261"/>
    <w:rsid w:val="004A5FBE"/>
    <w:rsid w:val="004A6DB7"/>
    <w:rsid w:val="004B6B6A"/>
    <w:rsid w:val="004D384C"/>
    <w:rsid w:val="004D6C35"/>
    <w:rsid w:val="004E1BE7"/>
    <w:rsid w:val="004F6E3F"/>
    <w:rsid w:val="005030D8"/>
    <w:rsid w:val="005074ED"/>
    <w:rsid w:val="0051510E"/>
    <w:rsid w:val="00521C9A"/>
    <w:rsid w:val="0052377E"/>
    <w:rsid w:val="00533025"/>
    <w:rsid w:val="00533C2C"/>
    <w:rsid w:val="00534A9A"/>
    <w:rsid w:val="00537270"/>
    <w:rsid w:val="00543785"/>
    <w:rsid w:val="00553806"/>
    <w:rsid w:val="0056016F"/>
    <w:rsid w:val="00560689"/>
    <w:rsid w:val="00566FCF"/>
    <w:rsid w:val="00591203"/>
    <w:rsid w:val="005A0770"/>
    <w:rsid w:val="005A214A"/>
    <w:rsid w:val="005B05E2"/>
    <w:rsid w:val="005C1AD9"/>
    <w:rsid w:val="005C6CFB"/>
    <w:rsid w:val="005C7705"/>
    <w:rsid w:val="005E6FC4"/>
    <w:rsid w:val="005F0221"/>
    <w:rsid w:val="005F73B5"/>
    <w:rsid w:val="0061087D"/>
    <w:rsid w:val="0061132F"/>
    <w:rsid w:val="00623B6E"/>
    <w:rsid w:val="00633073"/>
    <w:rsid w:val="00636895"/>
    <w:rsid w:val="006401AB"/>
    <w:rsid w:val="006619B0"/>
    <w:rsid w:val="006668DB"/>
    <w:rsid w:val="006801AF"/>
    <w:rsid w:val="0068219D"/>
    <w:rsid w:val="006906A8"/>
    <w:rsid w:val="0069124F"/>
    <w:rsid w:val="00696DB3"/>
    <w:rsid w:val="006A70D4"/>
    <w:rsid w:val="006B19B0"/>
    <w:rsid w:val="006C759D"/>
    <w:rsid w:val="006D54BB"/>
    <w:rsid w:val="006E3176"/>
    <w:rsid w:val="006F21A0"/>
    <w:rsid w:val="0071180E"/>
    <w:rsid w:val="00725F60"/>
    <w:rsid w:val="007476E8"/>
    <w:rsid w:val="00753344"/>
    <w:rsid w:val="00756728"/>
    <w:rsid w:val="0075734A"/>
    <w:rsid w:val="00757BFE"/>
    <w:rsid w:val="007653E1"/>
    <w:rsid w:val="00772ABE"/>
    <w:rsid w:val="0078035C"/>
    <w:rsid w:val="0078624B"/>
    <w:rsid w:val="00791C4F"/>
    <w:rsid w:val="007D71B4"/>
    <w:rsid w:val="007E186A"/>
    <w:rsid w:val="00803711"/>
    <w:rsid w:val="0080766A"/>
    <w:rsid w:val="008239EF"/>
    <w:rsid w:val="00832415"/>
    <w:rsid w:val="0083469A"/>
    <w:rsid w:val="00840B52"/>
    <w:rsid w:val="00851EB4"/>
    <w:rsid w:val="00880C4F"/>
    <w:rsid w:val="008A00A0"/>
    <w:rsid w:val="008A4DFB"/>
    <w:rsid w:val="008B2DDA"/>
    <w:rsid w:val="008C4049"/>
    <w:rsid w:val="00910173"/>
    <w:rsid w:val="009206B0"/>
    <w:rsid w:val="00934D6A"/>
    <w:rsid w:val="00946C32"/>
    <w:rsid w:val="00953E8F"/>
    <w:rsid w:val="00966370"/>
    <w:rsid w:val="0097526D"/>
    <w:rsid w:val="009819CA"/>
    <w:rsid w:val="00982B39"/>
    <w:rsid w:val="00990A86"/>
    <w:rsid w:val="00992F20"/>
    <w:rsid w:val="009A26CC"/>
    <w:rsid w:val="009A5905"/>
    <w:rsid w:val="009A66B6"/>
    <w:rsid w:val="009B3517"/>
    <w:rsid w:val="009E3155"/>
    <w:rsid w:val="009E757D"/>
    <w:rsid w:val="009F12A1"/>
    <w:rsid w:val="00A00226"/>
    <w:rsid w:val="00A2078D"/>
    <w:rsid w:val="00A236EE"/>
    <w:rsid w:val="00A301DE"/>
    <w:rsid w:val="00A30580"/>
    <w:rsid w:val="00A30B56"/>
    <w:rsid w:val="00A3718B"/>
    <w:rsid w:val="00A40A59"/>
    <w:rsid w:val="00A41EA8"/>
    <w:rsid w:val="00A655B3"/>
    <w:rsid w:val="00A92898"/>
    <w:rsid w:val="00AB5686"/>
    <w:rsid w:val="00AB63A6"/>
    <w:rsid w:val="00AC0875"/>
    <w:rsid w:val="00AD0E55"/>
    <w:rsid w:val="00AE4EF1"/>
    <w:rsid w:val="00AF7509"/>
    <w:rsid w:val="00B01C68"/>
    <w:rsid w:val="00B059F0"/>
    <w:rsid w:val="00B06D5A"/>
    <w:rsid w:val="00B13359"/>
    <w:rsid w:val="00B26287"/>
    <w:rsid w:val="00B26FDD"/>
    <w:rsid w:val="00B30B0F"/>
    <w:rsid w:val="00B33BE7"/>
    <w:rsid w:val="00B45AD6"/>
    <w:rsid w:val="00B52C2A"/>
    <w:rsid w:val="00B54700"/>
    <w:rsid w:val="00B65280"/>
    <w:rsid w:val="00B737E1"/>
    <w:rsid w:val="00B9167B"/>
    <w:rsid w:val="00B919B7"/>
    <w:rsid w:val="00B94C28"/>
    <w:rsid w:val="00B96DE9"/>
    <w:rsid w:val="00BD656D"/>
    <w:rsid w:val="00BF1431"/>
    <w:rsid w:val="00C02C0E"/>
    <w:rsid w:val="00C1361C"/>
    <w:rsid w:val="00C202F7"/>
    <w:rsid w:val="00C2241B"/>
    <w:rsid w:val="00C23D5C"/>
    <w:rsid w:val="00C2747E"/>
    <w:rsid w:val="00C3018F"/>
    <w:rsid w:val="00C3427C"/>
    <w:rsid w:val="00C34462"/>
    <w:rsid w:val="00C45DBA"/>
    <w:rsid w:val="00C5168F"/>
    <w:rsid w:val="00C662E9"/>
    <w:rsid w:val="00C66326"/>
    <w:rsid w:val="00C6671D"/>
    <w:rsid w:val="00C70EE0"/>
    <w:rsid w:val="00C80487"/>
    <w:rsid w:val="00C85885"/>
    <w:rsid w:val="00C8589C"/>
    <w:rsid w:val="00CA7E61"/>
    <w:rsid w:val="00CB21C8"/>
    <w:rsid w:val="00CC35A4"/>
    <w:rsid w:val="00CD12CF"/>
    <w:rsid w:val="00CD1537"/>
    <w:rsid w:val="00D00605"/>
    <w:rsid w:val="00D11A38"/>
    <w:rsid w:val="00D2430E"/>
    <w:rsid w:val="00D27153"/>
    <w:rsid w:val="00D302B2"/>
    <w:rsid w:val="00D41413"/>
    <w:rsid w:val="00D445A2"/>
    <w:rsid w:val="00D47C39"/>
    <w:rsid w:val="00D52173"/>
    <w:rsid w:val="00D82804"/>
    <w:rsid w:val="00DB247A"/>
    <w:rsid w:val="00DB4EA9"/>
    <w:rsid w:val="00DB6444"/>
    <w:rsid w:val="00DB7D4B"/>
    <w:rsid w:val="00DC0872"/>
    <w:rsid w:val="00DC176E"/>
    <w:rsid w:val="00DC4E3D"/>
    <w:rsid w:val="00DD7EE1"/>
    <w:rsid w:val="00E02235"/>
    <w:rsid w:val="00E033AE"/>
    <w:rsid w:val="00E105DF"/>
    <w:rsid w:val="00E147F6"/>
    <w:rsid w:val="00E14988"/>
    <w:rsid w:val="00E202B3"/>
    <w:rsid w:val="00E565C9"/>
    <w:rsid w:val="00E61739"/>
    <w:rsid w:val="00E67961"/>
    <w:rsid w:val="00E72D08"/>
    <w:rsid w:val="00E772A0"/>
    <w:rsid w:val="00E80388"/>
    <w:rsid w:val="00E80807"/>
    <w:rsid w:val="00E86DE4"/>
    <w:rsid w:val="00E9051C"/>
    <w:rsid w:val="00E90991"/>
    <w:rsid w:val="00E95932"/>
    <w:rsid w:val="00EB2934"/>
    <w:rsid w:val="00ED3CBE"/>
    <w:rsid w:val="00ED473A"/>
    <w:rsid w:val="00ED48A8"/>
    <w:rsid w:val="00EF2E03"/>
    <w:rsid w:val="00F2773F"/>
    <w:rsid w:val="00F33871"/>
    <w:rsid w:val="00F37C32"/>
    <w:rsid w:val="00F41DAB"/>
    <w:rsid w:val="00F472B9"/>
    <w:rsid w:val="00F66C56"/>
    <w:rsid w:val="00F70C81"/>
    <w:rsid w:val="00F75243"/>
    <w:rsid w:val="00FA7D0D"/>
    <w:rsid w:val="00FB427E"/>
    <w:rsid w:val="00FB5C57"/>
    <w:rsid w:val="00FC3678"/>
    <w:rsid w:val="00FC763E"/>
    <w:rsid w:val="00FD1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5">
    <w:name w:val="Light Shading Accent 5"/>
    <w:basedOn w:val="NormalTable"/>
    <w:uiPriority w:val="60"/>
    <w:pPr>
      <w:spacing w:after="0" w:line="240" w:lineRule="auto"/>
    </w:pPr>
    <w:rPr>
      <w:color w:val="318399" w:themeColor="accent5" w:themeShade="bf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 w:sz="4" w:space="0"/>
          <w:bottom w:val="single" w:color="4bacc6" w:themeColor="accent5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 w:sz="4" w:space="0"/>
          <w:bottom w:val="single" w:color="4bacc6" w:themeColor="accent5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1eaf1" w:themeFill="accent5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1eaf1" w:themeFill="accent5" w:themeFillTint="3f"/>
      </w:tcPr>
    </w:tblStylePr>
  </w:style>
  <w:style w:type="table" w:styleId="LightShadingAccent4">
    <w:name w:val="Light Shading Accent 4"/>
    <w:basedOn w:val="NormalTable"/>
    <w:uiPriority w:val="60"/>
    <w:pPr>
      <w:spacing w:after="0" w:line="240" w:lineRule="auto"/>
    </w:pPr>
    <w:rPr>
      <w:color w:val="60497b" w:themeColor="accent4" w:themeShade="bf"/>
    </w:rPr>
    <w:tblPr>
      <w:tblStyleRowBandSize w:val="1"/>
      <w:tblStyleColBandSize w:val="1"/>
      <w:tblInd w:w="0" w:type="dxa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 w:sz="4" w:space="0"/>
          <w:bottom w:val="single" w:color="8064a2" w:themeColor="accent4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 w:sz="4" w:space="0"/>
          <w:bottom w:val="single" w:color="8064a2" w:themeColor="accent4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fd8e8" w:themeFill="accent4" w:themeFillTint="3f"/>
      </w:tcPr>
    </w:tblStylePr>
  </w:style>
  <w:style w:type="table" w:styleId="LightShadingAccent3">
    <w:name w:val="Light Shading Accent 3"/>
    <w:basedOn w:val="NormalTable"/>
    <w:uiPriority w:val="60"/>
    <w:pPr>
      <w:spacing w:after="0" w:line="240" w:lineRule="auto"/>
    </w:pPr>
    <w:rPr>
      <w:color w:val="75923c" w:themeColor="accent3" w:themeShade="bf"/>
    </w:rPr>
    <w:tblPr>
      <w:tblStyleRowBandSize w:val="1"/>
      <w:tblStyleColBandSize w:val="1"/>
      <w:tblInd w:w="0" w:type="dxa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 w:sz="4" w:space="0"/>
          <w:bottom w:val="single" w:color="9bbb59" w:themeColor="accent3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 w:sz="4" w:space="0"/>
          <w:bottom w:val="single" w:color="9bbb59" w:themeColor="accent3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6eed6" w:themeFill="accent3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6eed6" w:themeFill="accent3" w:themeFillTint="3f"/>
      </w:tcPr>
    </w:tblStylePr>
  </w:style>
  <w:style w:type="table" w:styleId="LightShadingAccent2">
    <w:name w:val="Light Shading Accent 2"/>
    <w:basedOn w:val="NormalTable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 w:sz="4" w:space="0"/>
          <w:bottom w:val="single" w:color="c0504d" w:themeColor="accent2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 w:sz="4" w:space="0"/>
          <w:bottom w:val="single" w:color="c0504d" w:themeColor="accent2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fd4d3" w:themeFill="accent2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fd4d3" w:themeFill="accent2" w:themeFillTint="3f"/>
      </w:tcPr>
    </w:tblStylePr>
  </w:style>
  <w:style w:type="table" w:customStyle="1" w:styleId="Светлаязаливка-Акцент11">
    <w:name w:val="Светлая заливка - Акцент 11"/>
    <w:basedOn w:val="NormalTable"/>
    <w:uiPriority w:val="60"/>
    <w:pPr>
      <w:spacing w:after="0" w:line="240" w:lineRule="auto"/>
    </w:pPr>
    <w:rPr>
      <w:color w:val="376091" w:themeColor="accent1" w:themeShade="bf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 w:sz="4" w:space="0"/>
          <w:bottom w:val="single" w:color="4f81bd" w:themeColor="accent1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 w:sz="4" w:space="0"/>
          <w:bottom w:val="single" w:color="4f81bd" w:themeColor="accent1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3e0ef" w:themeFill="accent1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3e0ef" w:themeFill="accent1" w:themeFillTint="3f"/>
      </w:tcPr>
    </w:tblStylePr>
  </w:style>
  <w:style w:type="table" w:customStyle="1" w:styleId="Светлаязаливка1">
    <w:name w:val="Светлая заливка1"/>
    <w:basedOn w:val="NormalTable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 w:sz="4" w:space="0"/>
          <w:bottom w:val="single" w:color="000000" w:themeColor="text1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 w:sz="4" w:space="0"/>
          <w:bottom w:val="single" w:color="000000" w:themeColor="text1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paragraph" w:customStyle="1" w:styleId="C0">
    <w:name w:val="C0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DefaultParagraphFont"/>
    <w:uiPriority w:val="99"/>
  </w:style>
  <w:style w:type="character" w:customStyle="1" w:styleId="C2">
    <w:name w:val="C2"/>
    <w:basedOn w:val="DefaultParagraphFont"/>
    <w:uiPriority w:val="99"/>
  </w:style>
  <w:style w:type="character" w:customStyle="1" w:styleId="C11">
    <w:name w:val="C11"/>
    <w:basedOn w:val="DefaultParagraphFont"/>
    <w:uiPriority w:val="99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customStyle="1" w:styleId="C7">
    <w:name w:val="C7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  <w:style w:type="paragraph" w:customStyle="1" w:styleId="C61">
    <w:name w:val="C6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</w:style>
  <w:style w:type="paragraph" w:customStyle="1" w:styleId="C18">
    <w:name w:val="C18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DefaultParagraphFont"/>
    <w:uiPriority w:val="99"/>
  </w:style>
  <w:style w:type="character" w:customStyle="1" w:styleId="C22">
    <w:name w:val="C22"/>
    <w:basedOn w:val="DefaultParagraphFont"/>
    <w:uiPriority w:val="99"/>
  </w:style>
  <w:style w:type="paragraph" w:customStyle="1" w:styleId="C15">
    <w:name w:val="C15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DefaultParagraphFont"/>
    <w:uiPriority w:val="99"/>
  </w:style>
  <w:style w:type="paragraph" w:customStyle="1" w:styleId="C17">
    <w:name w:val="C17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DefaultParagraphFont"/>
    <w:uiPriority w:val="99"/>
  </w:style>
  <w:style w:type="paragraph" w:customStyle="1" w:styleId="Text">
    <w:name w:val="Text"/>
    <w:basedOn w:val="Normal"/>
    <w:uiPriority w:val="99"/>
    <w:pPr>
      <w:spacing w:before="100" w:after="100" w:line="240" w:lineRule="auto"/>
      <w:ind w:firstLine="360"/>
      <w:jc w:val="both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Содержимоетаблицы">
    <w:name w:val="Содержимое таблицы"/>
    <w:basedOn w:val="Normal"/>
    <w:uiPriority w:val="99"/>
    <w:pPr>
      <w:widowControl w:val="off"/>
      <w:spacing w:after="0" w:line="240" w:lineRule="auto"/>
    </w:pPr>
    <w:rPr>
      <w:rFonts w:ascii="Calibri" w:cs="Calibri" w:eastAsia="Calibri" w:hAnsi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7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6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56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4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2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2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1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2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3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3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5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1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2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8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hyperlink" Target="http://doshkolnik.ru/index.php" TargetMode="External"/><Relationship Id="rId11" Type="http://schemas.openxmlformats.org/officeDocument/2006/relationships/hyperlink" Target="http://detsad-kitty.ru/" TargetMode="External"/><Relationship Id="rId12" Type="http://schemas.openxmlformats.org/officeDocument/2006/relationships/hyperlink" Target="http://www.specialist-detsada.ru/" TargetMode="External"/><Relationship Id="rId15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/Relationships>
</file>

<file path=word/charts/_rels/chart12.xml.rels><?xml version="1.0" encoding="UTF-8" standalone="yes"?>
<Relationships xmlns="http://schemas.openxmlformats.org/package/2006/relationships"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52403-1001-45C7-9383-DEA44F75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7063</Words>
  <Characters>40260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Honor</cp:lastModifiedBy>
</cp:coreProperties>
</file>