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4F" w:rsidRDefault="00742D4F" w:rsidP="00742D4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D4F">
        <w:rPr>
          <w:rFonts w:ascii="Times New Roman" w:hAnsi="Times New Roman" w:cs="Times New Roman"/>
          <w:b/>
          <w:sz w:val="28"/>
          <w:szCs w:val="28"/>
        </w:rPr>
        <w:t>«Наставничество – стратегия непрерывного развития педагога»</w:t>
      </w:r>
    </w:p>
    <w:p w:rsidR="002B7E01" w:rsidRDefault="002B7E01" w:rsidP="00742D4F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42D4F" w:rsidRDefault="00742D4F" w:rsidP="00742D4F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Гарипова</w:t>
      </w:r>
      <w:r w:rsidR="00BA427B" w:rsidRPr="007F182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Ф.Э.</w:t>
      </w:r>
    </w:p>
    <w:p w:rsidR="00742D4F" w:rsidRDefault="00742D4F" w:rsidP="00742D4F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МБУДО «ДМШ № 13»г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азань</w:t>
      </w:r>
    </w:p>
    <w:p w:rsidR="00BA427B" w:rsidRPr="007F1827" w:rsidRDefault="00D74E1E" w:rsidP="00742D4F">
      <w:pPr>
        <w:spacing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hyperlink r:id="rId8" w:history="1">
        <w:r w:rsidR="00BA427B" w:rsidRPr="00BA427B">
          <w:rPr>
            <w:rStyle w:val="a9"/>
            <w:rFonts w:ascii="Times New Roman" w:hAnsi="Times New Roman" w:cs="Times New Roman"/>
            <w:b/>
            <w:i/>
            <w:color w:val="000000" w:themeColor="text1"/>
            <w:sz w:val="28"/>
            <w:szCs w:val="28"/>
            <w:u w:val="none"/>
            <w:lang w:val="en-US"/>
          </w:rPr>
          <w:t>Lilyaaaa</w:t>
        </w:r>
        <w:r w:rsidR="00BA427B" w:rsidRPr="007F1827">
          <w:rPr>
            <w:rStyle w:val="a9"/>
            <w:rFonts w:ascii="Times New Roman" w:hAnsi="Times New Roman" w:cs="Times New Roman"/>
            <w:b/>
            <w:i/>
            <w:color w:val="000000" w:themeColor="text1"/>
            <w:sz w:val="28"/>
            <w:szCs w:val="28"/>
            <w:u w:val="none"/>
          </w:rPr>
          <w:t>@</w:t>
        </w:r>
        <w:r w:rsidR="00BA427B" w:rsidRPr="00BA427B">
          <w:rPr>
            <w:rStyle w:val="a9"/>
            <w:rFonts w:ascii="Times New Roman" w:hAnsi="Times New Roman" w:cs="Times New Roman"/>
            <w:b/>
            <w:i/>
            <w:color w:val="000000" w:themeColor="text1"/>
            <w:sz w:val="28"/>
            <w:szCs w:val="28"/>
            <w:u w:val="none"/>
            <w:lang w:val="en-US"/>
          </w:rPr>
          <w:t>inbox</w:t>
        </w:r>
        <w:r w:rsidR="00BA427B" w:rsidRPr="007F1827">
          <w:rPr>
            <w:rStyle w:val="a9"/>
            <w:rFonts w:ascii="Times New Roman" w:hAnsi="Times New Roman" w:cs="Times New Roman"/>
            <w:b/>
            <w:i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BA427B" w:rsidRPr="00BA427B">
          <w:rPr>
            <w:rStyle w:val="a9"/>
            <w:rFonts w:ascii="Times New Roman" w:hAnsi="Times New Roman" w:cs="Times New Roman"/>
            <w:b/>
            <w:i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BA427B" w:rsidRPr="007F1827" w:rsidRDefault="00BA427B" w:rsidP="00742D4F">
      <w:pPr>
        <w:spacing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F433A" w:rsidRPr="007355F3" w:rsidRDefault="00602EFC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FF433A" w:rsidRPr="007355F3">
        <w:rPr>
          <w:rFonts w:ascii="Times New Roman" w:hAnsi="Times New Roman" w:cs="Times New Roman"/>
          <w:sz w:val="28"/>
          <w:szCs w:val="28"/>
        </w:rPr>
        <w:t>наставничества продиктовано велением времени.</w:t>
      </w:r>
      <w:r w:rsidR="005C367F" w:rsidRPr="007355F3">
        <w:rPr>
          <w:rFonts w:ascii="Times New Roman" w:hAnsi="Times New Roman" w:cs="Times New Roman"/>
          <w:sz w:val="28"/>
          <w:szCs w:val="28"/>
        </w:rPr>
        <w:t xml:space="preserve"> </w:t>
      </w:r>
      <w:r w:rsidR="00FF433A" w:rsidRPr="007355F3">
        <w:rPr>
          <w:rFonts w:ascii="Times New Roman" w:hAnsi="Times New Roman" w:cs="Times New Roman"/>
          <w:sz w:val="28"/>
          <w:szCs w:val="28"/>
        </w:rPr>
        <w:t>На сегодняшний день не только национальный проект «Образование» ставит такую задачу, как внедрение целевой модели наставничества во всех образовательных организациях, но и сама жизнь подсказывает нам необходимость взаимодействия между людьми для достижения общих целей.</w:t>
      </w:r>
    </w:p>
    <w:p w:rsidR="00FF433A" w:rsidRPr="007355F3" w:rsidRDefault="00FF433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>Опытным, как и начинающим педагогам необходима профессиональная помощь в овладении педагогическим мастерством, в освоении функциональных обязанностей педагога, наставника в использовании современных образовательных технологий.</w:t>
      </w:r>
    </w:p>
    <w:p w:rsidR="00FF433A" w:rsidRPr="007355F3" w:rsidRDefault="00FF433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>Профессиональная помощь необходима не только начинающим педагогам, но и опытным. Нужно помочь им адаптироваться в новых современных реалиях, ознакомить их с новой документацией, которую им необходимо разрабатывать и вести, а также оказывать методическую помощь в работе с разными категориями детей: одаренных, с ОВЗ, детей «группы риска».</w:t>
      </w:r>
    </w:p>
    <w:p w:rsidR="00FF433A" w:rsidRPr="007355F3" w:rsidRDefault="00FF433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>Решению этих стратегических задач будет способствовать создание гибкой и мобильной системы наставничества, способной оптимизировать и усовершенствовать процесс профессионального роста педагогов, сформировать у опытных педагогов мотивацию к самосовершенствованию, саморазвитию, самореализации. Настоящая программа призвана помочь в организации деятельности наставников с опытными педагогами на уровне образовательной организации.</w:t>
      </w:r>
    </w:p>
    <w:p w:rsidR="005A6299" w:rsidRPr="007355F3" w:rsidRDefault="00FF433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 xml:space="preserve">Указом президента РФ , 2023 год </w:t>
      </w:r>
      <w:proofErr w:type="spellStart"/>
      <w:r w:rsidRPr="007355F3">
        <w:rPr>
          <w:rFonts w:ascii="Times New Roman" w:hAnsi="Times New Roman" w:cs="Times New Roman"/>
          <w:sz w:val="28"/>
          <w:szCs w:val="28"/>
        </w:rPr>
        <w:t>обьявлен</w:t>
      </w:r>
      <w:proofErr w:type="spellEnd"/>
      <w:r w:rsidRPr="007355F3">
        <w:rPr>
          <w:rFonts w:ascii="Times New Roman" w:hAnsi="Times New Roman" w:cs="Times New Roman"/>
          <w:sz w:val="28"/>
          <w:szCs w:val="28"/>
        </w:rPr>
        <w:t xml:space="preserve"> годом педагога и наставника</w:t>
      </w:r>
      <w:r w:rsidR="007355F3">
        <w:rPr>
          <w:rFonts w:ascii="Times New Roman" w:hAnsi="Times New Roman" w:cs="Times New Roman"/>
          <w:sz w:val="28"/>
          <w:szCs w:val="28"/>
        </w:rPr>
        <w:t>.</w:t>
      </w:r>
      <w:r w:rsidR="00BA427B" w:rsidRPr="00BA427B">
        <w:rPr>
          <w:rFonts w:ascii="Times New Roman" w:hAnsi="Times New Roman" w:cs="Times New Roman"/>
          <w:sz w:val="28"/>
          <w:szCs w:val="28"/>
        </w:rPr>
        <w:t xml:space="preserve"> </w:t>
      </w:r>
      <w:r w:rsidR="005A6299" w:rsidRPr="007355F3">
        <w:rPr>
          <w:rFonts w:ascii="Times New Roman" w:hAnsi="Times New Roman" w:cs="Times New Roman"/>
          <w:sz w:val="28"/>
          <w:szCs w:val="28"/>
        </w:rPr>
        <w:t>Своими корнями практики наставничества уходят в доисторические времена. В Европе наставничество известно со времен Древней Греции. Сократ главной задачей наставника считал пробуждение мощных душевных сил ученика. Беседы Сократа были направлены на то, чтобы помочь «самозарождению» истины в сознании обучающегося. По мысли Платона, воспитание надо начинать с раннего возраста, осуществлять подобное</w:t>
      </w:r>
      <w:proofErr w:type="gramStart"/>
      <w:r w:rsidR="005A6299" w:rsidRPr="007355F3">
        <w:rPr>
          <w:rFonts w:ascii="Times New Roman" w:hAnsi="Times New Roman" w:cs="Times New Roman"/>
          <w:color w:val="474747"/>
          <w:sz w:val="28"/>
          <w:szCs w:val="28"/>
          <w:shd w:val="clear" w:color="auto" w:fill="F5F5F5"/>
        </w:rPr>
        <w:t xml:space="preserve"> .</w:t>
      </w:r>
      <w:proofErr w:type="gramEnd"/>
    </w:p>
    <w:p w:rsidR="00602EFC" w:rsidRPr="007355F3" w:rsidRDefault="005A6299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 xml:space="preserve">Наставничество - способ передачи знаний, умений, навыков молодому человеку от более опытного и знающего, предоставление молодым людям помощи и совета, оказание необходимой поддержки в социализации и взрослении. Это древнейшая форма обучения старшими младших </w:t>
      </w:r>
      <w:r w:rsidRPr="007355F3">
        <w:rPr>
          <w:rFonts w:ascii="Times New Roman" w:hAnsi="Times New Roman" w:cs="Times New Roman"/>
          <w:sz w:val="28"/>
          <w:szCs w:val="28"/>
        </w:rPr>
        <w:lastRenderedPageBreak/>
        <w:t xml:space="preserve">прикладным знаниям, необходимому поведению, инструментальным навыкам, формирования у них жизненных ценностей и позитивных установок. Это взаимодействие осуществляется в неформальном общении и не связано с официальными отношениями. При этом оно позволяет достичь максимально эффективных результатов воздействия на развивающуюся личность, помогает молодым людям определиться в жизни и реализовать свой потенциал. Подросток на этапе взросления особенно нуждается в позитивном примере и ответственном влиянии. В его жизни есть, конечно, значимые люди: родители, учителя, тренеры... Они воспитывают его, являются его защитниками, советчиками и просто друзьями. Роль же наставника гораздо шире – она объединяет все эти функции, чтобы помочь подростку и поддержать его в поиске личных жизненных целей и способов их достижения. </w:t>
      </w:r>
    </w:p>
    <w:p w:rsidR="005C367F" w:rsidRPr="007355F3" w:rsidRDefault="00602EFC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5F3">
        <w:rPr>
          <w:rFonts w:ascii="Times New Roman" w:hAnsi="Times New Roman" w:cs="Times New Roman"/>
          <w:sz w:val="28"/>
          <w:szCs w:val="28"/>
        </w:rPr>
        <w:t>В настоящее время в России реализуется несколько программ наставничества. Наиболее полно и содержательно насыщенные программы направлены на поддержку детей, оставшихся без попечения родителей, и детей в семьях, которые столкнулись с трудной жизненной ситуацией. По данным статистики, ежегодно из стен детских домов выходит от 13 до 15 тысяч выпускников. После выпуска в общество встраивается только 7-10 % из них. В вузы поступает не более 5-7 % выпускников детских домов, 70 % получает среднее профессиональное образование, 15-26 % нигде не учатся. Реализация программ наставничества в среде воспитанников детских домов помогла увеличить количество поступающих</w:t>
      </w:r>
      <w:r w:rsidR="002622B8" w:rsidRPr="007355F3">
        <w:rPr>
          <w:rFonts w:ascii="Times New Roman" w:hAnsi="Times New Roman" w:cs="Times New Roman"/>
          <w:sz w:val="28"/>
          <w:szCs w:val="28"/>
        </w:rPr>
        <w:t xml:space="preserve"> в вузы как минимум в два раза.</w:t>
      </w:r>
    </w:p>
    <w:p w:rsidR="002622B8" w:rsidRPr="00E4566C" w:rsidRDefault="002622B8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Тысячи молодых преподавателей приступают к работе в образовательных учреждениях ежегодно. У всех из них возникают вопросы, ответы на которые молодые специалисты не найдут в изученных ими курсах академической программы, в интернете и в коротких учебных школьных практиках. Организационная культура учреждения и требования, учебная программа и подбор методов, форм и сре</w:t>
      </w:r>
      <w:proofErr w:type="gramStart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дств пр</w:t>
      </w:r>
      <w:proofErr w:type="gramEnd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еподавания; родители, моноэтнический или полиэтнический состав учащихся и «дети, с особыми потребностями» в классе – целый комплекс разноплановых новых задач встанут перед молодым учителем. Это происходит в нашей стране и в других странах мира. «Согласно исследованиям и опыту, одна треть педагогов уходит из профессии через три года после начала работы, в основном объясняя свой уход, недостаточной поддержкой молодых специалистов», – основываясь на статистике по Северной Америке, пишет </w:t>
      </w:r>
      <w:proofErr w:type="spellStart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Пэм</w:t>
      </w:r>
      <w:proofErr w:type="spellEnd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Роббинс</w:t>
      </w:r>
      <w:proofErr w:type="spellEnd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независимый консу</w:t>
      </w:r>
      <w:r w:rsidRPr="00735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льтант по образованию из США</w:t>
      </w:r>
      <w:proofErr w:type="gramStart"/>
      <w:r w:rsidRPr="00735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Уходит на пенсию часть специалистов. «Часто, когда педагог уходит на пенсию, его собственная библиотека накопленных знаний сгорает. Наставничество помогает нам спасти несколько томов испытанных временем настоящих секретов нашей профессии»</w:t>
      </w:r>
      <w:proofErr w:type="gramStart"/>
      <w:r w:rsidRPr="00E456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</w:p>
    <w:p w:rsidR="002622B8" w:rsidRPr="00E4566C" w:rsidRDefault="002622B8" w:rsidP="007355F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введением </w:t>
      </w:r>
      <w:r w:rsidRPr="00735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нового Закона об Образовании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735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новых Федеральных государственных стандартов и Профессиональных педагогических 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стандартов</w:t>
      </w:r>
      <w:r w:rsidR="0048750A" w:rsidRPr="007355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 опытные педагоги столкнулись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проблемами, с которыми никогда не сталкивались прежде. Государственная образовательная политика РФ и документы ЮНЕСКО (Образование для всех), открытия ученых в науке, развитие отечественной и зарубежной педагогики, запрос общества – все это вместе требует от педагога нового качества в его деятельности.</w:t>
      </w:r>
    </w:p>
    <w:p w:rsidR="002622B8" w:rsidRPr="00E4566C" w:rsidRDefault="002622B8" w:rsidP="007355F3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Какой комплекс мер может стать сегодня всесторонней поддержкой для педагога? Введение </w:t>
      </w:r>
      <w:r w:rsidRPr="00E456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системы наставничества и работа с наставником</w:t>
      </w: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таким видится ответ на поставленный вопрос. Главная цель введения системы наставничества – повышение качества преподавания учителя. Профессиональные стандарты педагогов и федеральные образовательные  стандарты – основа, на которой будут строиться:</w:t>
      </w:r>
    </w:p>
    <w:p w:rsidR="002622B8" w:rsidRPr="00E4566C" w:rsidRDefault="002622B8" w:rsidP="007355F3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Процесс внедрения в педагогическую практику;</w:t>
      </w:r>
    </w:p>
    <w:p w:rsidR="002622B8" w:rsidRPr="00E4566C" w:rsidRDefault="002622B8" w:rsidP="007355F3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качества работы специалистов и работа с ними педагогов-наставников;</w:t>
      </w:r>
    </w:p>
    <w:p w:rsidR="002622B8" w:rsidRPr="00E4566C" w:rsidRDefault="002622B8" w:rsidP="007355F3">
      <w:pPr>
        <w:numPr>
          <w:ilvl w:val="0"/>
          <w:numId w:val="1"/>
        </w:numPr>
        <w:shd w:val="clear" w:color="auto" w:fill="FFFFFF"/>
        <w:spacing w:after="0" w:line="24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456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Аттестация специалистов в сфере образования.</w:t>
      </w:r>
    </w:p>
    <w:p w:rsidR="002622B8" w:rsidRPr="007355F3" w:rsidRDefault="002622B8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В детском объединении наставничество практикуется давно и заключается во взаимодействие обучающихся, при котором один из них находится на более высокой ступени образования и обладает организаторскими и лидерскими качествами, позволяющими ему оказать весомое влияние </w:t>
      </w: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на</w:t>
      </w:r>
      <w:proofErr w:type="gramEnd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наставляемого. Такая модель наставничества «ученик-ученик» лишена строгой субординации, ребята общаются в свободной форме.</w:t>
      </w:r>
      <w:r w:rsidRPr="007355F3">
        <w:rPr>
          <w:rFonts w:ascii="Times New Roman" w:hAnsi="Times New Roman" w:cs="Times New Roman"/>
          <w:color w:val="010101"/>
          <w:sz w:val="28"/>
          <w:szCs w:val="28"/>
        </w:rPr>
        <w:br/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«Дети учат детей» - практики наставничества, реализуемые в различных сферах детьми до 18 лет, в том числе в творческих объединениях дополнительного образования. Такая как форма взаимодействия между </w:t>
      </w: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обучающимися</w:t>
      </w:r>
      <w:proofErr w:type="gramEnd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используется при подготовке любого мероприятия.</w:t>
      </w:r>
    </w:p>
    <w:p w:rsidR="002622B8" w:rsidRPr="007355F3" w:rsidRDefault="002622B8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Типы наставничества:</w:t>
      </w:r>
    </w:p>
    <w:p w:rsidR="00523BAA" w:rsidRPr="007355F3" w:rsidRDefault="00523BAA" w:rsidP="007355F3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Скрытое</w:t>
      </w:r>
      <w:proofErr w:type="gramEnd"/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когда наставник воздействует на ученика незаметно для второго;</w:t>
      </w:r>
    </w:p>
    <w:p w:rsidR="00523BAA" w:rsidRPr="007355F3" w:rsidRDefault="00523BAA" w:rsidP="007355F3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Открытые</w:t>
      </w:r>
      <w:proofErr w:type="gramEnd"/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двусторонние взаимодей</w:t>
      </w:r>
      <w:r w:rsidR="0048750A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ствие наставника и воспитуемого;</w:t>
      </w:r>
    </w:p>
    <w:p w:rsidR="00523BAA" w:rsidRPr="007355F3" w:rsidRDefault="00523BAA" w:rsidP="007355F3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Индивидуальные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когда все силы направле</w:t>
      </w:r>
      <w:r w:rsidR="0048750A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ны на воспитание одного ученика;</w:t>
      </w:r>
    </w:p>
    <w:p w:rsidR="00523BAA" w:rsidRPr="007355F3" w:rsidRDefault="00523BAA" w:rsidP="007355F3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Индивидуальные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когда все силы направлены на воспитание одного ученика.</w:t>
      </w:r>
    </w:p>
    <w:p w:rsidR="00523BAA" w:rsidRPr="007355F3" w:rsidRDefault="00523BAA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Наставничество является двусторонним процессом: с одной стороны –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деятельность  наставника, с друго</w:t>
      </w: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й-</w:t>
      </w:r>
      <w:proofErr w:type="gramEnd"/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деятельность, воспитанника. Этот процесс носит субъект</w:t>
      </w:r>
      <w:r w:rsidR="005C367F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-с</w:t>
      </w:r>
      <w:proofErr w:type="gramEnd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убъектный характер и является одной из разновидностей педагогического взаимодействия.</w:t>
      </w:r>
    </w:p>
    <w:p w:rsidR="00523BAA" w:rsidRPr="007355F3" w:rsidRDefault="00523BAA" w:rsidP="007355F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355F3">
        <w:rPr>
          <w:rFonts w:ascii="Times New Roman" w:hAnsi="Times New Roman" w:cs="Times New Roman"/>
          <w:i/>
          <w:sz w:val="28"/>
          <w:szCs w:val="28"/>
          <w:lang w:eastAsia="ru-RU"/>
        </w:rPr>
        <w:t>Один совет наставника, </w:t>
      </w:r>
    </w:p>
    <w:p w:rsidR="00523BAA" w:rsidRPr="007355F3" w:rsidRDefault="00523BAA" w:rsidP="007355F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355F3">
        <w:rPr>
          <w:rFonts w:ascii="Times New Roman" w:hAnsi="Times New Roman" w:cs="Times New Roman"/>
          <w:i/>
          <w:sz w:val="28"/>
          <w:szCs w:val="28"/>
          <w:lang w:eastAsia="ru-RU"/>
        </w:rPr>
        <w:t>может сэкономить годы ошибок! </w:t>
      </w:r>
    </w:p>
    <w:p w:rsidR="00523BAA" w:rsidRPr="007355F3" w:rsidRDefault="00523BA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55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Тема наставничества в образовании является одной из центральных в нацпроекте «Образование», потому что на сегодняшний день существует ряд проблем. В первую очередь происходит резкое снижение готовности новых поколений к самостоятельному вхождению во взрослую жизнь, неспособность понять самого себя, неразвитость субъектной позиции.</w:t>
      </w:r>
    </w:p>
    <w:p w:rsidR="00523BAA" w:rsidRPr="007355F3" w:rsidRDefault="00523BA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55F3">
        <w:rPr>
          <w:rFonts w:ascii="Times New Roman" w:hAnsi="Times New Roman" w:cs="Times New Roman"/>
          <w:sz w:val="28"/>
          <w:szCs w:val="28"/>
          <w:lang w:eastAsia="ru-RU"/>
        </w:rPr>
        <w:t>Происходит замыкание современных детей и молодежи в пространство виртуального (сетевого) общения, нарастание доли формализованного общения, подчиненного логике стандартов, программ, планов и жесткого контроля результативности, при этом идет уменьшение доли неформального, личностно значимого общения. Усиливается эффект отчуждения человека от общества.</w:t>
      </w:r>
    </w:p>
    <w:p w:rsidR="00523BAA" w:rsidRPr="007355F3" w:rsidRDefault="00523BAA" w:rsidP="00735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55F3">
        <w:rPr>
          <w:rFonts w:ascii="Times New Roman" w:hAnsi="Times New Roman" w:cs="Times New Roman"/>
          <w:sz w:val="28"/>
          <w:szCs w:val="28"/>
          <w:lang w:eastAsia="ru-RU"/>
        </w:rPr>
        <w:t>Поэтому  возникает необходимость в посреднике между растущим человеком и миром, который представляет собой представленным множеством социальных и образовательных сред.</w:t>
      </w:r>
    </w:p>
    <w:p w:rsidR="00523BAA" w:rsidRPr="00523BAA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Целью внедрения этой модели наставничества является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всех обучающихся, педагогических работников разных уровней образования и молодых специалистов нашего учреждения.</w:t>
      </w:r>
    </w:p>
    <w:p w:rsidR="00523BAA" w:rsidRPr="00523BAA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Актуальным направлением модернизации системы дополнительного образования является духовно-нравственное воспитание, как одно из основных средств культурного развития личности юного гражданина нашей страны.</w:t>
      </w:r>
    </w:p>
    <w:p w:rsidR="00523BAA" w:rsidRPr="00523BAA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Задачи программы наставничества:</w:t>
      </w:r>
    </w:p>
    <w:p w:rsidR="00523BAA" w:rsidRPr="007355F3" w:rsidRDefault="00523BAA" w:rsidP="007355F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разработка и реализация мероприятий «дорожной карты» внедрения целевой модели;</w:t>
      </w:r>
    </w:p>
    <w:p w:rsidR="00523BAA" w:rsidRPr="007355F3" w:rsidRDefault="00523BAA" w:rsidP="007355F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разработка и реализация индивидуальных программ наставничества;</w:t>
      </w:r>
    </w:p>
    <w:p w:rsidR="00523BAA" w:rsidRPr="007355F3" w:rsidRDefault="00523BAA" w:rsidP="007355F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реализация кадровой политики, в том числе: привлечение, обучение и </w:t>
      </w:r>
      <w:proofErr w:type="gramStart"/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контроль за</w:t>
      </w:r>
      <w:proofErr w:type="gramEnd"/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деятельностью наставников, принимающих участие в программе наставничества учреждения.</w:t>
      </w:r>
    </w:p>
    <w:p w:rsidR="00523BAA" w:rsidRPr="00523BAA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Для успешной реализации целевой модели наставничества предусматривается 4 формы наставничества: «Педагог - ученик», «Ученик - ученик», «Педагог - педагог», «Работодатель – </w:t>
      </w:r>
      <w:proofErr w:type="spellStart"/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ученик»</w:t>
      </w:r>
      <w:proofErr w:type="gramStart"/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.Н</w:t>
      </w:r>
      <w:proofErr w:type="gramEnd"/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аставляемым</w:t>
      </w:r>
      <w:proofErr w:type="spellEnd"/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может стать</w:t>
      </w:r>
      <w:r w:rsidR="005C367F"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любой обучающийся по общеобразовательным, дополнительным программам, а также молодой специалист и педагог на условиях свободного вхождения в выбранную программу.</w:t>
      </w:r>
    </w:p>
    <w:p w:rsidR="00BA427B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Каждая из указанных форм предполагает решение определенного круга задач и проблем с использованием единой методологии наставничества, частично </w:t>
      </w: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видоизмененной с учетом ступени обучения, профессиональной деятельности и первоначальных ключевых запросов участников программы.</w:t>
      </w:r>
    </w:p>
    <w:p w:rsidR="00523BAA" w:rsidRPr="00523BAA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Цель наставничества среди </w:t>
      </w:r>
      <w:proofErr w:type="gramStart"/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обучающихся</w:t>
      </w:r>
      <w:proofErr w:type="gramEnd"/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:</w:t>
      </w:r>
    </w:p>
    <w:p w:rsidR="00523BAA" w:rsidRPr="007355F3" w:rsidRDefault="00523BAA" w:rsidP="007355F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выявление и воспитание учащихся-лидеров, волонтеров и патриотов;</w:t>
      </w:r>
    </w:p>
    <w:p w:rsidR="00523BAA" w:rsidRPr="007355F3" w:rsidRDefault="00523BAA" w:rsidP="007355F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выявление и воспитание "компетентных лидеров" </w:t>
      </w:r>
      <w:proofErr w:type="gramStart"/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среди</w:t>
      </w:r>
      <w:proofErr w:type="gramEnd"/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обучающихся;</w:t>
      </w:r>
    </w:p>
    <w:p w:rsidR="00523BAA" w:rsidRPr="007355F3" w:rsidRDefault="00523BAA" w:rsidP="007355F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воспитание ремесленников в области декоративно-прикладного и изобразительного искусства;</w:t>
      </w:r>
    </w:p>
    <w:p w:rsidR="00523BAA" w:rsidRPr="007355F3" w:rsidRDefault="00523BAA" w:rsidP="007355F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355F3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массовые (концертные и воспитательные мероприятия) – инструмент для реализации трека наставничества «дети учат детей»</w:t>
      </w:r>
    </w:p>
    <w:p w:rsidR="00523BAA" w:rsidRPr="00523BAA" w:rsidRDefault="00523BAA" w:rsidP="007355F3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523BA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Наставник способен стать для наставляемого человеком, который окажет комплексную поддержку на пути социализации, взросления, поиске индивидуальных жизненных целей и путей их достижения, в раскрытии потенциала и возможностей саморазвития и профориентации.</w:t>
      </w:r>
    </w:p>
    <w:p w:rsidR="00523BAA" w:rsidRPr="007355F3" w:rsidRDefault="002F64B2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В детском объединении наставничество практикуется давно и заключается во взаимодействие обучающихся, при котором один из них находится на более высокой ступени образования и обладает организаторскими и лидерскими качествами, позволяющими ему оказать весомое влияние </w:t>
      </w: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на</w:t>
      </w:r>
      <w:proofErr w:type="gramEnd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наставляемого. Такая модель наставничества</w:t>
      </w:r>
      <w:r w:rsidRPr="007355F3">
        <w:rPr>
          <w:rFonts w:ascii="Times New Roman" w:hAnsi="Times New Roman" w:cs="Times New Roman"/>
          <w:i/>
          <w:iCs/>
          <w:color w:val="010101"/>
          <w:sz w:val="28"/>
          <w:szCs w:val="28"/>
          <w:shd w:val="clear" w:color="auto" w:fill="F9FAFA"/>
        </w:rPr>
        <w:t> «ученик-ученик»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 лишена строгой субординации, ребята общаются в свободной форме.</w:t>
      </w:r>
    </w:p>
    <w:p w:rsidR="002F64B2" w:rsidRPr="007355F3" w:rsidRDefault="002F64B2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«Дети учат детей» - практики наставничества, реализуемые в различных сферах детьми до 18 лет, в том числе в творческих объединениях дополнительного образования. Такая как форма взаимодействия между </w:t>
      </w:r>
      <w:proofErr w:type="gramStart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обучающимися</w:t>
      </w:r>
      <w:proofErr w:type="gramEnd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используется при  подготовке любого  мероприятия.</w:t>
      </w:r>
    </w:p>
    <w:p w:rsidR="002F64B2" w:rsidRPr="007355F3" w:rsidRDefault="002F64B2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Результатом правильной организации работы наставников будет высокий уровень включенности наставляемых во все социальные, культурные и образовательные процессы, что окажет несомненное положительное влияние на общий статус объединения, снижение конфликтов внутри коллектива.</w:t>
      </w:r>
    </w:p>
    <w:p w:rsidR="0048750A" w:rsidRPr="0064401D" w:rsidRDefault="0048750A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Конечно,</w:t>
      </w:r>
      <w:r w:rsidR="007355F3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можно заниматься самообразованием в одиночку</w:t>
      </w:r>
      <w:proofErr w:type="gramStart"/>
      <w:r w:rsidR="00BA427B" w:rsidRP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.</w:t>
      </w:r>
      <w:proofErr w:type="gramEnd"/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Но наставник задает вектор движения,</w:t>
      </w:r>
      <w:r w:rsidR="00BA427B" w:rsidRP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направляет и предостерегает</w:t>
      </w:r>
      <w:r w:rsidR="00BA427B" w:rsidRP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,то </w:t>
      </w:r>
      <w:r w:rsid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есть помогает сэкономить время</w:t>
      </w:r>
      <w:r w:rsidR="00BA427B" w:rsidRP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.</w:t>
      </w:r>
      <w:r w:rsidR="007355F3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Саморазвитие-это здорово,</w:t>
      </w:r>
      <w:r w:rsidR="00BA427B" w:rsidRP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но долго.</w:t>
      </w:r>
      <w:r w:rsidR="00BA427B" w:rsidRPr="00BA427B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</w:t>
      </w:r>
      <w:r w:rsidR="007355F3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Если требуется из точки А попасть в точку Б быстро и с отличными результатами</w:t>
      </w:r>
      <w:proofErr w:type="gramStart"/>
      <w:r w:rsidR="007355F3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,</w:t>
      </w:r>
      <w:proofErr w:type="gramEnd"/>
      <w:r w:rsidR="007355F3" w:rsidRPr="007355F3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то лучше взять с собой наставника</w:t>
      </w:r>
    </w:p>
    <w:p w:rsidR="007F1827" w:rsidRDefault="007F1827" w:rsidP="00BA427B">
      <w:pPr>
        <w:spacing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7F1827" w:rsidRDefault="007F1827" w:rsidP="00BA427B">
      <w:pPr>
        <w:spacing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7F1827" w:rsidRDefault="007F1827" w:rsidP="00BA427B">
      <w:pPr>
        <w:spacing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7F1827" w:rsidRDefault="007F1827" w:rsidP="00BA427B">
      <w:pPr>
        <w:spacing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7F1827" w:rsidRDefault="007F1827" w:rsidP="00BA427B">
      <w:pPr>
        <w:spacing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BA427B" w:rsidRDefault="00BA427B" w:rsidP="00BA427B">
      <w:pPr>
        <w:spacing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  <w:r w:rsidRPr="00BA427B"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  <w:lastRenderedPageBreak/>
        <w:t>Список Литературы:</w:t>
      </w:r>
    </w:p>
    <w:p w:rsidR="00BA427B" w:rsidRPr="00BA427B" w:rsidRDefault="00BA427B" w:rsidP="00BA427B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BA42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Учебно-методическое пособие по реализации программы «Сообщество» </w:t>
      </w:r>
      <w:hyperlink r:id="rId9" w:history="1">
        <w:r w:rsidRPr="00BA427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http://www.childpsy.ru/lib/books/id/8194.php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A427B" w:rsidRDefault="00BA427B" w:rsidP="00BA427B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27B">
        <w:rPr>
          <w:rFonts w:ascii="Times New Roman" w:hAnsi="Times New Roman" w:cs="Times New Roman"/>
          <w:color w:val="000000" w:themeColor="text1"/>
          <w:sz w:val="28"/>
          <w:szCs w:val="28"/>
        </w:rPr>
        <w:t>2.Международная Ассоциация Шаг за шагом </w:t>
      </w:r>
      <w:hyperlink r:id="rId10" w:tgtFrame="_blank" w:history="1">
        <w:r w:rsidRPr="00BA427B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www.issa.nl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A427B" w:rsidRPr="00BA427B" w:rsidRDefault="00BA427B" w:rsidP="00BA427B">
      <w:pPr>
        <w:shd w:val="clear" w:color="auto" w:fill="FFFFFF"/>
        <w:spacing w:after="0" w:line="240" w:lineRule="auto"/>
        <w:ind w:right="36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427B">
        <w:rPr>
          <w:rFonts w:ascii="Times New Roman" w:hAnsi="Times New Roman" w:cs="Times New Roman"/>
          <w:sz w:val="28"/>
          <w:szCs w:val="28"/>
        </w:rPr>
        <w:t>3.Блинов В. И., Есенина Е. Ю., Сергеев И. С. Наставничество в образовании: нужен</w:t>
      </w:r>
      <w:r>
        <w:rPr>
          <w:rFonts w:ascii="Times New Roman" w:hAnsi="Times New Roman" w:cs="Times New Roman"/>
          <w:sz w:val="28"/>
          <w:szCs w:val="28"/>
        </w:rPr>
        <w:t xml:space="preserve"> хорошо заточенный инструмент </w:t>
      </w:r>
      <w:r w:rsidR="00535E0F">
        <w:rPr>
          <w:rFonts w:ascii="Times New Roman" w:hAnsi="Times New Roman" w:cs="Times New Roman"/>
          <w:sz w:val="28"/>
          <w:szCs w:val="28"/>
        </w:rPr>
        <w:t>2019. – № 3. – С.</w:t>
      </w:r>
      <w:r w:rsidRPr="00BA427B">
        <w:rPr>
          <w:rFonts w:ascii="Times New Roman" w:hAnsi="Times New Roman" w:cs="Times New Roman"/>
          <w:sz w:val="28"/>
          <w:szCs w:val="28"/>
        </w:rPr>
        <w:t>4–18.</w:t>
      </w:r>
    </w:p>
    <w:p w:rsidR="00BA427B" w:rsidRPr="00BA427B" w:rsidRDefault="00BA427B" w:rsidP="00BA427B">
      <w:pPr>
        <w:spacing w:line="240" w:lineRule="auto"/>
        <w:jc w:val="center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</w:p>
    <w:p w:rsidR="00BA427B" w:rsidRPr="00BA427B" w:rsidRDefault="00BA427B" w:rsidP="007355F3">
      <w:pPr>
        <w:spacing w:line="240" w:lineRule="auto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</w:pPr>
    </w:p>
    <w:sectPr w:rsidR="00BA427B" w:rsidRPr="00BA4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E1E" w:rsidRDefault="00D74E1E" w:rsidP="007355F3">
      <w:pPr>
        <w:spacing w:after="0" w:line="240" w:lineRule="auto"/>
      </w:pPr>
      <w:r>
        <w:separator/>
      </w:r>
    </w:p>
  </w:endnote>
  <w:endnote w:type="continuationSeparator" w:id="0">
    <w:p w:rsidR="00D74E1E" w:rsidRDefault="00D74E1E" w:rsidP="0073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E1E" w:rsidRDefault="00D74E1E" w:rsidP="007355F3">
      <w:pPr>
        <w:spacing w:after="0" w:line="240" w:lineRule="auto"/>
      </w:pPr>
      <w:r>
        <w:separator/>
      </w:r>
    </w:p>
  </w:footnote>
  <w:footnote w:type="continuationSeparator" w:id="0">
    <w:p w:rsidR="00D74E1E" w:rsidRDefault="00D74E1E" w:rsidP="0073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65CDF"/>
    <w:multiLevelType w:val="multilevel"/>
    <w:tmpl w:val="3418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814FA2"/>
    <w:multiLevelType w:val="multilevel"/>
    <w:tmpl w:val="7CE24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AE56DB"/>
    <w:multiLevelType w:val="multilevel"/>
    <w:tmpl w:val="9216B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205D18"/>
    <w:multiLevelType w:val="hybridMultilevel"/>
    <w:tmpl w:val="25929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16278A"/>
    <w:multiLevelType w:val="multilevel"/>
    <w:tmpl w:val="46C6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AB2088"/>
    <w:multiLevelType w:val="multilevel"/>
    <w:tmpl w:val="58563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576F6B"/>
    <w:multiLevelType w:val="multilevel"/>
    <w:tmpl w:val="2F8C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94168F"/>
    <w:multiLevelType w:val="hybridMultilevel"/>
    <w:tmpl w:val="316EC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D0950"/>
    <w:multiLevelType w:val="hybridMultilevel"/>
    <w:tmpl w:val="EC841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26999"/>
    <w:multiLevelType w:val="multilevel"/>
    <w:tmpl w:val="BA8A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DCC6056"/>
    <w:multiLevelType w:val="hybridMultilevel"/>
    <w:tmpl w:val="8D52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99"/>
    <w:rsid w:val="002622B8"/>
    <w:rsid w:val="002B7E01"/>
    <w:rsid w:val="002F64B2"/>
    <w:rsid w:val="0048750A"/>
    <w:rsid w:val="00523BAA"/>
    <w:rsid w:val="00535E0F"/>
    <w:rsid w:val="005A6299"/>
    <w:rsid w:val="005C367F"/>
    <w:rsid w:val="00602EFC"/>
    <w:rsid w:val="0064401D"/>
    <w:rsid w:val="00655E49"/>
    <w:rsid w:val="007355F3"/>
    <w:rsid w:val="00742D4F"/>
    <w:rsid w:val="007F1827"/>
    <w:rsid w:val="00952B7C"/>
    <w:rsid w:val="009D22C5"/>
    <w:rsid w:val="00BA427B"/>
    <w:rsid w:val="00D74E1E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64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3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55F3"/>
  </w:style>
  <w:style w:type="paragraph" w:styleId="a7">
    <w:name w:val="footer"/>
    <w:basedOn w:val="a"/>
    <w:link w:val="a8"/>
    <w:uiPriority w:val="99"/>
    <w:unhideWhenUsed/>
    <w:rsid w:val="0073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55F3"/>
  </w:style>
  <w:style w:type="character" w:styleId="a9">
    <w:name w:val="Hyperlink"/>
    <w:basedOn w:val="a0"/>
    <w:uiPriority w:val="99"/>
    <w:unhideWhenUsed/>
    <w:rsid w:val="00BA42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F64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3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55F3"/>
  </w:style>
  <w:style w:type="paragraph" w:styleId="a7">
    <w:name w:val="footer"/>
    <w:basedOn w:val="a"/>
    <w:link w:val="a8"/>
    <w:uiPriority w:val="99"/>
    <w:unhideWhenUsed/>
    <w:rsid w:val="00735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55F3"/>
  </w:style>
  <w:style w:type="character" w:styleId="a9">
    <w:name w:val="Hyperlink"/>
    <w:basedOn w:val="a0"/>
    <w:uiPriority w:val="99"/>
    <w:unhideWhenUsed/>
    <w:rsid w:val="00BA42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82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5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lyaaaa@inbo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ssa.n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ildpsy.ru/lib/books/id/8194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Лилия</cp:lastModifiedBy>
  <cp:revision>2</cp:revision>
  <dcterms:created xsi:type="dcterms:W3CDTF">2011-12-31T21:38:00Z</dcterms:created>
  <dcterms:modified xsi:type="dcterms:W3CDTF">2011-12-31T21:38:00Z</dcterms:modified>
</cp:coreProperties>
</file>