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F3EE26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Рабочая программа по внеурочной  деятельности</w:t>
      </w:r>
    </w:p>
    <w:p>
      <w:pPr>
        <w:spacing w:lineRule="auto" w:line="240" w:after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«</w:t>
      </w:r>
      <w:r>
        <w:rPr>
          <w:rFonts w:ascii="Times New Roman" w:hAnsi="Times New Roman"/>
          <w:b w:val="1"/>
          <w:color w:val="000000"/>
          <w:sz w:val="24"/>
        </w:rPr>
        <w:t>Основы волейбола</w:t>
      </w:r>
      <w:r>
        <w:rPr>
          <w:rFonts w:ascii="Times New Roman" w:hAnsi="Times New Roman"/>
          <w:b w:val="1"/>
          <w:sz w:val="24"/>
        </w:rPr>
        <w:t>»</w:t>
      </w:r>
    </w:p>
    <w:p>
      <w:pPr>
        <w:spacing w:lineRule="auto" w:line="240" w:after="0"/>
        <w:jc w:val="center"/>
        <w:rPr>
          <w:rFonts w:ascii="Times New Roman" w:hAnsi="Times New Roman"/>
          <w:sz w:val="24"/>
        </w:rPr>
      </w:pPr>
    </w:p>
    <w:p>
      <w:pPr>
        <w:spacing w:lineRule="auto" w:line="240" w:after="0"/>
        <w:jc w:val="center"/>
        <w:rPr>
          <w:rFonts w:ascii="Times New Roman" w:hAnsi="Times New Roman"/>
          <w:sz w:val="24"/>
        </w:rPr>
      </w:pPr>
    </w:p>
    <w:p>
      <w:pPr>
        <w:spacing w:lineRule="auto" w:line="24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Программу составила</w:t>
      </w:r>
      <w:r>
        <w:rPr>
          <w:rFonts w:ascii="Times New Roman" w:hAnsi="Times New Roman"/>
          <w:sz w:val="24"/>
        </w:rPr>
        <w:t>: учитель физической культуры Канаева С.В.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Уровень образования (класс): </w:t>
      </w:r>
      <w:r>
        <w:rPr>
          <w:rFonts w:ascii="Times New Roman" w:hAnsi="Times New Roman"/>
          <w:sz w:val="24"/>
        </w:rPr>
        <w:t>среднее общее образование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внеурочной деятельности по физкультурно-спортивному и оздоровительному направлению «Основы волейбола» предназначена для обучающихся 8-9 классов. Принадлежность к внеурочной деятельности определяет режим проведения занятий, а именно: занятия по внеурочной деятельности проводятся после всех уроков основного расписания, продолжительность соответствует рекомендациям СанПиН, т.е. 40 минут.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Занятия проводятся в спортивном зале или на пришкольной спортивной площадке. Здоровьесберегающая организация образовательного процесса предполагает использование форм и методов обучения, адекватных возрастным возможностям занимающихся.</w:t>
      </w:r>
    </w:p>
    <w:p>
      <w:pPr>
        <w:spacing w:lineRule="atLeast" w:line="23" w:after="0" w:beforeAutospacing="0" w:afterAutospacing="0"/>
        <w:jc w:val="both"/>
        <w:rPr>
          <w:rFonts w:ascii="Times New Roman" w:hAnsi="Times New Roman"/>
          <w:color w:val="000000"/>
          <w:sz w:val="24"/>
        </w:rPr>
      </w:pPr>
    </w:p>
    <w:p>
      <w:pPr>
        <w:pStyle w:val="P2"/>
        <w:shd w:val="clear" w:fill="FFFFFF"/>
        <w:spacing w:before="0" w:after="0" w:beforeAutospacing="0" w:afterAutospacing="0"/>
        <w:jc w:val="center"/>
        <w:rPr>
          <w:b w:val="1"/>
          <w:color w:val="000000"/>
        </w:rPr>
      </w:pPr>
      <w:r>
        <w:rPr>
          <w:b w:val="1"/>
          <w:color w:val="000000"/>
        </w:rPr>
        <w:t>Результаты освоения курса внеурочной деятельности “ Основы волейбола”</w:t>
      </w:r>
    </w:p>
    <w:p>
      <w:pPr>
        <w:pStyle w:val="P2"/>
        <w:shd w:val="clear" w:fill="FFFFFF"/>
        <w:spacing w:before="0" w:after="0" w:beforeAutospacing="0" w:afterAutospacing="0"/>
        <w:jc w:val="center"/>
        <w:rPr>
          <w:b w:val="1"/>
          <w:color w:val="000000"/>
        </w:rPr>
      </w:pP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>Личностные результаты: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-проявление положительных качеств личности и управление своими эмоциями в различных ситуациях и условиях;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-проявление дисциплинированности, трудолюбие и упорство в достижении поставленных целей;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-оказание бескорыстной помощи своим сверстникам, нахождение с ними общего языка и общих интересов.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>Метапредметные результаты: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-характеристика явления (действия и поступков), их объективная оценка на основе освоенных знаний и имеющегося опыта;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-обнаружение ошибок при выполнении учебных заданий, отбор способов их исправления;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-общение и взаимодействие со сверстниками на принципах взаимоуважения и взаимопомощи, дружбы и толерантности;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-обеспечение защиты и сохранности природы во время активного отдыха и занятий физической культурой;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-планирование собственной деятельности, распределение нагрузки и организация отдыха в процессе её выполнения;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-анализ и объективная оценка результатов собственного труда, поиск возможностей и способов их улучшения;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-видение красоты движений, выделение и обоснование эстетических признаков в движениях и передвижениях человека;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-оценка красоты телосложения и осанки, сравнение их с эталонными образцами;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-управление эмоциями при общении со сверстниками и взрослыми, хладнокровие, сдержанность, рассудительность;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-технически правильное выполнение двигательных действий, использование их в игровой и соревновательной деятельности.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>Предметные результаты: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-измерение (познание) индивидуальных показателей физического развития (длины и массы тела), развитие основных физических качеств;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-представление физической культуры как средства укрепления здоровья, физического развития и физической подготовки человека;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-организация и проведение со сверстниками подвижных игр и элементов соревнований, осуществление их объективного судейства;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-бережное обращение с инвентарём и оборудованием, соблюдение требований техники безопасности к местам проведения;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-характеристика физической нагрузки по показателю частоты пульса, регулирование её напряжённости во время занятий по развитию физических качеств;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-взаимодействие со сверстниками по правилам проведения подвижных игр и соревнований;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-объяснение в доступной форме правил (техники) выполнения двигательных действий, анализ и поиск ошибок, исправление их;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-подача строевых команд, подсчёт при выполнении общеразвивающих упражнений;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-выполнение технических действий из базовых видов спорта, применение их в игровой и соревновательной деятельности;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color w:val="000000"/>
        </w:rPr>
        <w:t>-выполнение жизненно важных двигательных навыков и умений различными способами в различных условиях.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</w:p>
    <w:p>
      <w:pPr>
        <w:spacing w:lineRule="atLeast" w:line="23" w:after="0" w:beforeAutospacing="0" w:afterAutospacing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Содержание учебного материала</w:t>
      </w:r>
    </w:p>
    <w:p>
      <w:pPr>
        <w:spacing w:lineRule="atLeast" w:line="23" w:after="0" w:beforeAutospacing="0" w:afterAutospacing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 xml:space="preserve">Раздел 1. </w:t>
      </w:r>
      <w:r>
        <w:rPr>
          <w:rFonts w:ascii="Times New Roman" w:hAnsi="Times New Roman"/>
          <w:b w:val="1"/>
          <w:color w:val="000000"/>
          <w:sz w:val="24"/>
        </w:rPr>
        <w:t>Стойка. Перемещения в стойке.</w:t>
      </w:r>
      <w:r>
        <w:rPr>
          <w:color w:val="000000"/>
        </w:rPr>
        <w:t xml:space="preserve"> Стойка игрока (исходные  положения).Перемещение в стойке приставными шагами: правым, левым боком, лицом вперед.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b w:val="1"/>
          <w:color w:val="000000"/>
        </w:rPr>
      </w:pPr>
      <w:r>
        <w:rPr>
          <w:b w:val="1"/>
          <w:color w:val="000000"/>
        </w:rPr>
        <w:t xml:space="preserve">Раздел 2. </w:t>
      </w:r>
      <w:r>
        <w:rPr>
          <w:rFonts w:ascii="Times New Roman" w:hAnsi="Times New Roman"/>
          <w:b w:val="1"/>
          <w:color w:val="000000"/>
          <w:sz w:val="24"/>
        </w:rPr>
        <w:t xml:space="preserve">Способы перемещения. </w:t>
      </w:r>
      <w:r>
        <w:rPr>
          <w:color w:val="000000"/>
        </w:rPr>
        <w:t>Сочетание способов перемещений (бег, остановки, повороты, прыжки вверх).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 xml:space="preserve">Раздел 3. Передачи мяча. </w:t>
      </w:r>
      <w:r>
        <w:rPr>
          <w:color w:val="000000"/>
        </w:rPr>
        <w:t>Передача сверху двумя руками вперед-вверх (в опорном положении). Передача сверху двумя руками в прыжке (вдоль сетки и через сетку).Передача сверху двумя руками, стоя спиной в направлении передачи.Передача мяча снизу двумя руками над собой.Передача мяча снизу двумя руками в парах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 xml:space="preserve">Раздел 4. Прием мяча </w:t>
      </w:r>
      <w:r>
        <w:rPr>
          <w:rFonts w:ascii="Times New Roman" w:hAnsi="Times New Roman"/>
          <w:b w:val="1"/>
          <w:color w:val="000000"/>
          <w:sz w:val="24"/>
        </w:rPr>
        <w:t>снизу двумя руками</w:t>
      </w:r>
      <w:r>
        <w:rPr>
          <w:b w:val="1"/>
          <w:color w:val="000000"/>
        </w:rPr>
        <w:t>. </w:t>
      </w:r>
      <w:r>
        <w:rPr>
          <w:color w:val="000000"/>
        </w:rPr>
        <w:t xml:space="preserve"> Прием мяча снизу двумя руками.Прием мяча сверху двумя руками.Прием мяча, отраженного сеткой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>Раздел 5. Подачи мяча, прием мяча после подачи. </w:t>
      </w:r>
      <w:r>
        <w:rPr>
          <w:color w:val="000000"/>
        </w:rPr>
        <w:t xml:space="preserve"> Нижняя прямая подача.Верхняя прямая подача.Подача в прыжке. Выбор места приема мяча от подачи.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>Раздел 6. Атакующие удары (нападающий удар)</w:t>
      </w:r>
      <w:r>
        <w:rPr>
          <w:color w:val="000000"/>
        </w:rPr>
        <w:t xml:space="preserve"> Прямой нападающий удар (по ходу).Нападающий удар с переводом вправо (влево)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 xml:space="preserve">Раздел 7. </w:t>
      </w:r>
      <w:r>
        <w:rPr>
          <w:rFonts w:ascii="Times New Roman" w:hAnsi="Times New Roman"/>
          <w:b w:val="1"/>
          <w:color w:val="000000"/>
          <w:sz w:val="24"/>
        </w:rPr>
        <w:t>Общая и специальная физическая подготовка.</w:t>
      </w:r>
      <w:r>
        <w:rPr>
          <w:b w:val="1"/>
          <w:color w:val="000000"/>
        </w:rPr>
        <w:t xml:space="preserve">  </w:t>
      </w:r>
      <w:r>
        <w:rPr>
          <w:color w:val="000000"/>
        </w:rPr>
        <w:t>Развитие скоростных, скоростно-силовых, координационных способностей, выносливости, гибкости.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  <w:r>
        <w:rPr>
          <w:b w:val="1"/>
          <w:color w:val="000000"/>
        </w:rPr>
        <w:t>Раздел 8. Игровые задания </w:t>
      </w:r>
      <w:r>
        <w:rPr>
          <w:color w:val="000000"/>
        </w:rPr>
        <w:t xml:space="preserve"> Индивидуальные тактические действия в нападении, защите.Групповые тактические действия в нападении, защите.Командные тактические действия в нападении, защите.Двухсторонняя учебная игра.</w:t>
      </w:r>
    </w:p>
    <w:p>
      <w:pPr>
        <w:ind w:left="320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Формы организации занятий</w:t>
      </w:r>
    </w:p>
    <w:p>
      <w:pPr>
        <w:pStyle w:val="P3"/>
        <w:numPr>
          <w:ilvl w:val="0"/>
          <w:numId w:val="15"/>
        </w:numPr>
        <w:spacing w:lineRule="auto" w:line="240" w:after="0" w:beforeAutospacing="0" w:afterAutospacing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Тренировочное занятие.</w:t>
      </w:r>
    </w:p>
    <w:p>
      <w:pPr>
        <w:pStyle w:val="P3"/>
        <w:numPr>
          <w:ilvl w:val="0"/>
          <w:numId w:val="15"/>
        </w:numPr>
        <w:spacing w:lineRule="auto" w:line="240" w:after="0" w:beforeAutospacing="0" w:afterAutospacing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Игровое занятие</w:t>
      </w:r>
    </w:p>
    <w:p>
      <w:pPr>
        <w:pStyle w:val="P3"/>
        <w:numPr>
          <w:ilvl w:val="0"/>
          <w:numId w:val="15"/>
        </w:numPr>
        <w:spacing w:lineRule="auto" w:line="240" w:after="0" w:beforeAutospacing="0" w:afterAutospacing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Проведение бесед по охране здоровья и тактики игры.</w:t>
      </w:r>
    </w:p>
    <w:p>
      <w:pPr>
        <w:pStyle w:val="P3"/>
        <w:numPr>
          <w:ilvl w:val="0"/>
          <w:numId w:val="15"/>
        </w:numPr>
        <w:spacing w:lineRule="auto" w:line="240" w:after="0" w:beforeAutospacing="0" w:afterAutospacing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Участие в спортивных соревнованиях.</w:t>
      </w:r>
    </w:p>
    <w:p>
      <w:pPr>
        <w:pStyle w:val="P2"/>
        <w:shd w:val="clear" w:fill="FFFFFF"/>
        <w:spacing w:before="0" w:after="0" w:beforeAutospacing="0" w:afterAutospacing="0"/>
        <w:jc w:val="both"/>
        <w:rPr>
          <w:color w:val="000000"/>
        </w:rPr>
      </w:pPr>
    </w:p>
    <w:p>
      <w:pPr>
        <w:spacing w:lineRule="atLeast" w:line="23" w:after="0" w:beforeAutospacing="0" w:afterAutospacing="0"/>
        <w:rPr>
          <w:rFonts w:ascii="Times New Roman" w:hAnsi="Times New Roman"/>
          <w:color w:val="000000"/>
          <w:sz w:val="24"/>
        </w:rPr>
      </w:pPr>
    </w:p>
    <w:p>
      <w:pPr>
        <w:spacing w:lineRule="atLeast" w:line="23" w:after="0" w:beforeAutospacing="0" w:afterAutospacing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Тематическое планирование</w:t>
      </w:r>
    </w:p>
    <w:tbl>
      <w:tblPr>
        <w:tblStyle w:val="T2"/>
        <w:tblW w:w="10490" w:type="dxa"/>
        <w:tblInd w:w="-601" w:type="dxa"/>
        <w:tblLayout w:type="fixed"/>
        <w:tblLook w:val="04A0"/>
      </w:tblPr>
      <w:tblGrid/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п/п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</w:p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8 класс</w:t>
            </w:r>
          </w:p>
        </w:tc>
        <w:tc>
          <w:tcPr>
            <w:tcW w:w="3324" w:type="dxa"/>
            <w:gridSpan w:val="3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9 класс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Кол-во часов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Практика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Практика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Стойка. Перемещения в стойке</w:t>
            </w: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перемещения</w:t>
            </w: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сверху двумя руками</w:t>
            </w: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Прием мяча снизу двумя руками</w:t>
            </w: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left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Подачи мяча, прием мяча после подачи.</w:t>
            </w: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spacing w:lineRule="atLeast" w:line="23"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Атакующий удар (нападающий удар)</w:t>
            </w: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Общая и специальная физическая подготовка</w:t>
            </w:r>
          </w:p>
        </w:tc>
        <w:tc>
          <w:tcPr>
            <w:tcW w:w="3367" w:type="dxa"/>
            <w:gridSpan w:val="3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занятия</w:t>
            </w:r>
          </w:p>
        </w:tc>
        <w:tc>
          <w:tcPr>
            <w:tcW w:w="3324" w:type="dxa"/>
            <w:gridSpan w:val="3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занятия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Игровые задания</w:t>
            </w: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>
        <w:tc>
          <w:tcPr>
            <w:tcW w:w="56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w="323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7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</w:tbl>
    <w:p>
      <w:pPr>
        <w:pStyle w:val="P2"/>
        <w:shd w:val="clear" w:fill="FFFFFF"/>
        <w:spacing w:before="0" w:after="0" w:beforeAutospacing="0" w:afterAutospacing="0"/>
        <w:rPr>
          <w:color w:val="000000"/>
        </w:rPr>
      </w:pPr>
    </w:p>
    <w:p>
      <w:pPr>
        <w:pStyle w:val="P2"/>
        <w:shd w:val="clear" w:fill="FFFFFF"/>
        <w:spacing w:before="0" w:after="0" w:beforeAutospacing="0" w:afterAutospacing="0"/>
        <w:rPr>
          <w:color w:val="000000"/>
        </w:rPr>
      </w:pPr>
    </w:p>
    <w:p>
      <w:pPr>
        <w:pStyle w:val="P2"/>
        <w:shd w:val="clear" w:fill="FFFFFF"/>
        <w:spacing w:before="0" w:after="0" w:beforeAutospacing="0" w:afterAutospacing="0"/>
        <w:rPr>
          <w:color w:val="000000"/>
        </w:rPr>
      </w:pPr>
    </w:p>
    <w:p>
      <w:pPr>
        <w:pStyle w:val="P2"/>
        <w:shd w:val="clear" w:fill="FFFFFF"/>
        <w:spacing w:before="0" w:after="0" w:beforeAutospacing="0" w:afterAutospacing="0"/>
        <w:rPr>
          <w:color w:val="000000"/>
        </w:rPr>
      </w:pPr>
    </w:p>
    <w:p>
      <w:pPr>
        <w:pStyle w:val="P2"/>
        <w:shd w:val="clear" w:fill="FFFFFF"/>
        <w:spacing w:before="0" w:after="0" w:beforeAutospacing="0" w:afterAutospacing="0"/>
        <w:rPr>
          <w:color w:val="000000"/>
        </w:rPr>
      </w:pPr>
    </w:p>
    <w:p>
      <w:pPr>
        <w:spacing w:lineRule="atLeast" w:line="23" w:after="0" w:beforeAutospacing="0" w:afterAutospacing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br w:type="textWrapping"/>
      </w: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BAE564D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">
    <w:nsid w:val="14BB7C40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">
    <w:nsid w:val="1B985D81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3">
    <w:nsid w:val="29376335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4">
    <w:nsid w:val="29415A85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5">
    <w:nsid w:val="2EE41A29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6">
    <w:nsid w:val="32854A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7">
    <w:nsid w:val="361F7AFE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8">
    <w:nsid w:val="40AB3322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9">
    <w:nsid w:val="4B9005C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5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0">
    <w:nsid w:val="57481AD7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36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08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180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52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24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396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68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40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120"/>
      </w:pPr>
      <w:rPr/>
    </w:lvl>
  </w:abstractNum>
  <w:abstractNum w:abstractNumId="11">
    <w:nsid w:val="58160C9A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2">
    <w:nsid w:val="6C91449F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3">
    <w:nsid w:val="73F41EAC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4">
    <w:nsid w:val="75B57596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3"/>
  </w:num>
  <w:num w:numId="12">
    <w:abstractNumId w:val="4"/>
  </w:num>
  <w:num w:numId="13">
    <w:abstractNumId w:va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Balloon Text"/>
    <w:basedOn w:val="P0"/>
    <w:link w:val="C3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paragraph" w:styleId="P2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3">
    <w:name w:val="List Paragraph"/>
    <w:basedOn w:val="P0"/>
    <w:qFormat/>
    <w:pPr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выноски Знак"/>
    <w:basedOn w:val="C0"/>
    <w:link w:val="P1"/>
    <w:semiHidden/>
    <w:rPr>
      <w:rFonts w:ascii="Tahoma" w:hAnsi="Tahoma"/>
      <w:sz w:val="16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Сетка таблицы1"/>
    <w:basedOn w:val="T0"/>
    <w:pPr>
      <w:spacing w:lineRule="auto" w:line="240" w:after="0" w:beforeAutospacing="0" w:afterAutospacing="0"/>
    </w:pPr>
    <w:rPr>
      <w:rFonts w:ascii="Times New Roman" w:hAnsi="Times New Roman"/>
      <w:sz w:val="20"/>
    </w:r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