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718" w:rsidRPr="00EE1718" w:rsidRDefault="00EE1718" w:rsidP="00EE171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40"/>
          <w:szCs w:val="40"/>
        </w:rPr>
      </w:pPr>
      <w:bookmarkStart w:id="0" w:name="_GoBack"/>
      <w:bookmarkEnd w:id="0"/>
      <w:r>
        <w:t xml:space="preserve">                                                </w:t>
      </w:r>
      <w:proofErr w:type="spellStart"/>
      <w:r w:rsidRPr="00EE1718">
        <w:rPr>
          <w:rFonts w:ascii="Times New Roman" w:hAnsi="Times New Roman" w:cs="Times New Roman"/>
          <w:sz w:val="40"/>
          <w:szCs w:val="40"/>
        </w:rPr>
        <w:t>Гиперактивное</w:t>
      </w:r>
      <w:proofErr w:type="spellEnd"/>
      <w:r w:rsidRPr="00EE1718">
        <w:rPr>
          <w:rFonts w:ascii="Times New Roman" w:hAnsi="Times New Roman" w:cs="Times New Roman"/>
          <w:sz w:val="40"/>
          <w:szCs w:val="40"/>
        </w:rPr>
        <w:t xml:space="preserve"> поведение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В последние годы в медицинской и психологической практике все чаще встречаются дети с диагнозом «синдром дефицита внимания и </w:t>
      </w:r>
      <w:proofErr w:type="spellStart"/>
      <w:r>
        <w:rPr>
          <w:rFonts w:ascii="Arial" w:hAnsi="Arial"/>
          <w:color w:val="000000"/>
        </w:rPr>
        <w:t>гиперактивности</w:t>
      </w:r>
      <w:proofErr w:type="spellEnd"/>
      <w:r>
        <w:rPr>
          <w:rFonts w:ascii="Arial" w:hAnsi="Arial"/>
          <w:color w:val="000000"/>
        </w:rPr>
        <w:t xml:space="preserve">» (СДВГ). Значительно увеличилось количество обращений с данным заболеванием и к остеопатам. В подавляющем большинстве случаев лечением детей с дефицитом внимания занимаются изолированно врачи разных медицинских специальностей: неврологи, психиатры, педиатры, остеопаты, а также психологи и педагоги. Разнообразие подходов к лечению объясняется неоднозначностью причин, содержащихся в анамнезе детей, страдающих СДВГ. Для врача нередко встает вопрос о доминирующем влиянии психологических или соматических нарушений в данном заболевании. Однако следует признать, что ни один из применяемых сегодня видов лечения не решает в полной мере проблем ребенка, поскольку не учитывает все особенности заболевания, получившего сегодня статус </w:t>
      </w:r>
      <w:proofErr w:type="gramStart"/>
      <w:r>
        <w:rPr>
          <w:rFonts w:ascii="Arial" w:hAnsi="Arial"/>
          <w:color w:val="000000"/>
        </w:rPr>
        <w:t>медико-социальной</w:t>
      </w:r>
      <w:proofErr w:type="gramEnd"/>
      <w:r>
        <w:rPr>
          <w:rFonts w:ascii="Arial" w:hAnsi="Arial"/>
          <w:color w:val="000000"/>
        </w:rPr>
        <w:t xml:space="preserve"> проблемы.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Остеопатическая практика показывает, что в анамнезе детей с дефицитом внимания часто присутствуют факторы, свидетельствующие в пользу перенесенной родовой травмы разной степени тяжести.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Любые из нижеперечисленных факторов могут привести к родовой травме А. А. </w:t>
      </w:r>
      <w:proofErr w:type="gramStart"/>
      <w:r>
        <w:rPr>
          <w:rFonts w:ascii="Arial" w:hAnsi="Arial"/>
          <w:color w:val="000000"/>
        </w:rPr>
        <w:t>Хасанов, 1992):</w:t>
      </w:r>
      <w:proofErr w:type="gramEnd"/>
    </w:p>
    <w:p w:rsidR="00EE1718" w:rsidRDefault="00EE1718" w:rsidP="00EE1718">
      <w:pPr>
        <w:numPr>
          <w:ilvl w:val="0"/>
          <w:numId w:val="1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незрелые дети (незрелость </w:t>
      </w:r>
      <w:proofErr w:type="gramStart"/>
      <w:r>
        <w:rPr>
          <w:rFonts w:ascii="Arial" w:hAnsi="Arial"/>
          <w:color w:val="000000"/>
        </w:rPr>
        <w:t>сердечно-сосудистой</w:t>
      </w:r>
      <w:proofErr w:type="gramEnd"/>
      <w:r>
        <w:rPr>
          <w:rFonts w:ascii="Arial" w:hAnsi="Arial"/>
          <w:color w:val="000000"/>
        </w:rPr>
        <w:t xml:space="preserve"> системы, особая ломкость сосудов, недостаточная плотность костей черепа, широкие швы и роднички);</w:t>
      </w:r>
    </w:p>
    <w:p w:rsidR="00EE1718" w:rsidRDefault="00EE1718" w:rsidP="00EE1718">
      <w:pPr>
        <w:numPr>
          <w:ilvl w:val="0"/>
          <w:numId w:val="1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крупные дети (больше 3800 г);</w:t>
      </w:r>
    </w:p>
    <w:p w:rsidR="00EE1718" w:rsidRDefault="00EE1718" w:rsidP="00EE1718">
      <w:pPr>
        <w:numPr>
          <w:ilvl w:val="0"/>
          <w:numId w:val="1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осложнения беременности (инфекционные заболевания, угроза прерывания беременности);</w:t>
      </w:r>
    </w:p>
    <w:p w:rsidR="00EE1718" w:rsidRDefault="00EE1718" w:rsidP="00EE1718">
      <w:pPr>
        <w:numPr>
          <w:ilvl w:val="0"/>
          <w:numId w:val="1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осложнения при родах (очень быстрые роды - менее 3 часов, очень длительные - более 18 часов, </w:t>
      </w:r>
      <w:proofErr w:type="spellStart"/>
      <w:r>
        <w:rPr>
          <w:rFonts w:ascii="Arial" w:hAnsi="Arial"/>
          <w:color w:val="000000"/>
        </w:rPr>
        <w:t>эпидуральная</w:t>
      </w:r>
      <w:proofErr w:type="spellEnd"/>
      <w:r>
        <w:rPr>
          <w:rFonts w:ascii="Arial" w:hAnsi="Arial"/>
          <w:color w:val="000000"/>
        </w:rPr>
        <w:t xml:space="preserve"> анестезия, щипцовое родовспоможение или вакуум-экстракция, преждевременная отслойка плаценты, слабость родовой деятельности);</w:t>
      </w:r>
    </w:p>
    <w:p w:rsidR="00EE1718" w:rsidRDefault="00EE1718" w:rsidP="00EE1718">
      <w:pPr>
        <w:numPr>
          <w:ilvl w:val="0"/>
          <w:numId w:val="1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тазовое, ягодичное и другие </w:t>
      </w:r>
      <w:proofErr w:type="spellStart"/>
      <w:r>
        <w:rPr>
          <w:rFonts w:ascii="Arial" w:hAnsi="Arial"/>
          <w:color w:val="000000"/>
        </w:rPr>
        <w:t>предлежания</w:t>
      </w:r>
      <w:proofErr w:type="spellEnd"/>
      <w:r>
        <w:rPr>
          <w:rFonts w:ascii="Arial" w:hAnsi="Arial"/>
          <w:color w:val="000000"/>
        </w:rPr>
        <w:t xml:space="preserve"> плода, кроме головного (лицом вниз);</w:t>
      </w:r>
    </w:p>
    <w:p w:rsidR="00EE1718" w:rsidRDefault="00EE1718" w:rsidP="00EE1718">
      <w:pPr>
        <w:numPr>
          <w:ilvl w:val="0"/>
          <w:numId w:val="1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кесарево сечение;</w:t>
      </w:r>
    </w:p>
    <w:p w:rsidR="00EE1718" w:rsidRDefault="00EE1718" w:rsidP="00EE1718">
      <w:pPr>
        <w:numPr>
          <w:ilvl w:val="0"/>
          <w:numId w:val="1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роды женщинами старше 35 лет;</w:t>
      </w:r>
    </w:p>
    <w:p w:rsidR="00EE1718" w:rsidRDefault="00EE1718" w:rsidP="00EE1718">
      <w:pPr>
        <w:numPr>
          <w:ilvl w:val="0"/>
          <w:numId w:val="1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медикаментозная стимуляция родовой деятельности;</w:t>
      </w:r>
    </w:p>
    <w:p w:rsidR="00EE1718" w:rsidRDefault="00EE1718" w:rsidP="00EE1718">
      <w:pPr>
        <w:numPr>
          <w:ilvl w:val="0"/>
          <w:numId w:val="1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акушерские пособия, такие как чрезмерная защита промежности, разгибание затылком к лону, давление рукой акушера на дно матки, </w:t>
      </w:r>
      <w:proofErr w:type="spellStart"/>
      <w:r>
        <w:rPr>
          <w:rFonts w:ascii="Arial" w:hAnsi="Arial"/>
          <w:color w:val="000000"/>
        </w:rPr>
        <w:t>тракции</w:t>
      </w:r>
      <w:proofErr w:type="spellEnd"/>
      <w:r>
        <w:rPr>
          <w:rFonts w:ascii="Arial" w:hAnsi="Arial"/>
          <w:color w:val="000000"/>
        </w:rPr>
        <w:t xml:space="preserve"> за головку при выведении плечевого пояса.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Состояние ребенка после родов также может служить показателем здоровья его нервной системы. Признаками, указывающими на возможные проблемы, могут служить (</w:t>
      </w:r>
      <w:proofErr w:type="spellStart"/>
      <w:r>
        <w:rPr>
          <w:rFonts w:ascii="Arial" w:hAnsi="Arial"/>
          <w:color w:val="000000"/>
        </w:rPr>
        <w:t>Frymann</w:t>
      </w:r>
      <w:proofErr w:type="spellEnd"/>
      <w:r>
        <w:rPr>
          <w:rFonts w:ascii="Arial" w:hAnsi="Arial"/>
          <w:color w:val="000000"/>
        </w:rPr>
        <w:t>, 1998):</w:t>
      </w:r>
    </w:p>
    <w:p w:rsidR="00EE1718" w:rsidRDefault="00EE1718" w:rsidP="00EE1718">
      <w:pPr>
        <w:numPr>
          <w:ilvl w:val="0"/>
          <w:numId w:val="2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lastRenderedPageBreak/>
        <w:t>задержка сосания более чем 24-48 часов;</w:t>
      </w:r>
    </w:p>
    <w:p w:rsidR="00EE1718" w:rsidRDefault="00EE1718" w:rsidP="00EE1718">
      <w:pPr>
        <w:numPr>
          <w:ilvl w:val="0"/>
          <w:numId w:val="2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срыгивание после приема пищи;</w:t>
      </w:r>
    </w:p>
    <w:p w:rsidR="00EE1718" w:rsidRDefault="00EE1718" w:rsidP="00EE1718">
      <w:pPr>
        <w:numPr>
          <w:ilvl w:val="0"/>
          <w:numId w:val="2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изгибание спины или запрокидывание головки назад;</w:t>
      </w:r>
    </w:p>
    <w:p w:rsidR="00EE1718" w:rsidRDefault="00EE1718" w:rsidP="00EE1718">
      <w:pPr>
        <w:numPr>
          <w:ilvl w:val="0"/>
          <w:numId w:val="2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асимметричные движения рук и ног;</w:t>
      </w:r>
    </w:p>
    <w:p w:rsidR="00EE1718" w:rsidRDefault="00EE1718" w:rsidP="00EE1718">
      <w:pPr>
        <w:numPr>
          <w:ilvl w:val="0"/>
          <w:numId w:val="2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периоды безутешного плача;</w:t>
      </w:r>
    </w:p>
    <w:p w:rsidR="00EE1718" w:rsidRDefault="00EE1718" w:rsidP="00EE1718">
      <w:pPr>
        <w:numPr>
          <w:ilvl w:val="0"/>
          <w:numId w:val="2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непоследовательное двигательное развитие.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Во время родов повреждаются различные компоненты </w:t>
      </w:r>
      <w:proofErr w:type="spellStart"/>
      <w:r>
        <w:rPr>
          <w:rFonts w:ascii="Arial" w:hAnsi="Arial"/>
          <w:color w:val="000000"/>
        </w:rPr>
        <w:t>краниосакральной</w:t>
      </w:r>
      <w:proofErr w:type="spellEnd"/>
      <w:r>
        <w:rPr>
          <w:rFonts w:ascii="Arial" w:hAnsi="Arial"/>
          <w:color w:val="000000"/>
        </w:rPr>
        <w:t xml:space="preserve"> системы, </w:t>
      </w:r>
      <w:proofErr w:type="gramStart"/>
      <w:r>
        <w:rPr>
          <w:rFonts w:ascii="Arial" w:hAnsi="Arial"/>
          <w:color w:val="000000"/>
        </w:rPr>
        <w:t>а</w:t>
      </w:r>
      <w:proofErr w:type="gramEnd"/>
      <w:r>
        <w:rPr>
          <w:rFonts w:ascii="Arial" w:hAnsi="Arial"/>
          <w:color w:val="000000"/>
        </w:rPr>
        <w:t xml:space="preserve"> следовательно, и нервная система внутри нее, что мешает нормальному созреванию структур головного мозга и его функционированию. Головной мозг - контролер и координатор всех видов активности человеческого организма, поэтому очень важно как можно раньше гармонизировать </w:t>
      </w:r>
      <w:proofErr w:type="spellStart"/>
      <w:r>
        <w:rPr>
          <w:rFonts w:ascii="Arial" w:hAnsi="Arial"/>
          <w:color w:val="000000"/>
        </w:rPr>
        <w:t>краниосакральную</w:t>
      </w:r>
      <w:proofErr w:type="spellEnd"/>
      <w:r>
        <w:rPr>
          <w:rFonts w:ascii="Arial" w:hAnsi="Arial"/>
          <w:color w:val="000000"/>
        </w:rPr>
        <w:t xml:space="preserve"> систему ребенка. И в этом помощь квалифицированного остеопата незаменима.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Известно, что большинство родовых травм приходится на шейный отдел позвоночника (</w:t>
      </w:r>
      <w:proofErr w:type="spellStart"/>
      <w:r>
        <w:rPr>
          <w:rFonts w:ascii="Arial" w:hAnsi="Arial"/>
          <w:color w:val="000000"/>
        </w:rPr>
        <w:t>Ратнер</w:t>
      </w:r>
      <w:proofErr w:type="spellEnd"/>
      <w:r>
        <w:rPr>
          <w:rFonts w:ascii="Arial" w:hAnsi="Arial"/>
          <w:color w:val="000000"/>
        </w:rPr>
        <w:t>, 1995). Это связано с тем, что наибольшая нагрузка в родах приходится на шейный отдел позвоночника, особенно на уровень С0-С1. Пристальное внимание многих врачей обращено здесь на систему позвоночных артерий (вертебрально-базилярную систему), риск повреждения которых чрезвычайно велик, а проявлений сосудистой недостаточности головного и спинного мозга вследствие этого еще больше (Новосельцев, 2004).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Травма шейного отдела позвоночника и позвоночных артерий может себя проявить в таких патологических состояниях, как эпилепсия, фебрильные судороги, тики, детский церебральный паралич, всевозможные вегетативные и эндокринные нарушения.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Кроме этого, возможно развитие вертебрально-базилярной недостаточности, различных зрительных нарушений, нарушений речи, глотания, дефицита внимания, поведенческих нарушений, снижения памяти, аллергии, </w:t>
      </w:r>
      <w:proofErr w:type="spellStart"/>
      <w:r>
        <w:rPr>
          <w:rFonts w:ascii="Arial" w:hAnsi="Arial"/>
          <w:color w:val="000000"/>
        </w:rPr>
        <w:t>энуреза</w:t>
      </w:r>
      <w:proofErr w:type="spellEnd"/>
      <w:r>
        <w:rPr>
          <w:rFonts w:ascii="Arial" w:hAnsi="Arial"/>
          <w:color w:val="000000"/>
        </w:rPr>
        <w:t xml:space="preserve"> и др. (Яременко Б. Р., Яременко А. Б., </w:t>
      </w:r>
      <w:proofErr w:type="spellStart"/>
      <w:r>
        <w:rPr>
          <w:rFonts w:ascii="Arial" w:hAnsi="Arial"/>
          <w:color w:val="000000"/>
        </w:rPr>
        <w:t>Горяинова</w:t>
      </w:r>
      <w:proofErr w:type="spellEnd"/>
      <w:r>
        <w:rPr>
          <w:rFonts w:ascii="Arial" w:hAnsi="Arial"/>
          <w:color w:val="000000"/>
        </w:rPr>
        <w:t xml:space="preserve"> Т. Б., 1999).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При остеопатическом подходе к лечению СДВГ, в отличие от методов традиционной неврологии, не только делается попытка нормализовать регуляторные мозговые процессы и, как следствие, поведение ребенка, но и производится воздействие на организм в целом, создаются условия для гармонизации функционирования всех его составляющих. Медицинская проблема решается не на уровне дефектной структуры, воздействие осуществляется с учетом особенностей организма в целом.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Однако, как показывает практика, и этого оказывается недостаточно, чтобы обеспечить эффективное лечение. Недаром СДВГ получил статус </w:t>
      </w:r>
      <w:proofErr w:type="gramStart"/>
      <w:r>
        <w:rPr>
          <w:rFonts w:ascii="Arial" w:hAnsi="Arial"/>
          <w:color w:val="000000"/>
        </w:rPr>
        <w:t>медико-социальной</w:t>
      </w:r>
      <w:proofErr w:type="gramEnd"/>
      <w:r>
        <w:rPr>
          <w:rFonts w:ascii="Arial" w:hAnsi="Arial"/>
          <w:color w:val="000000"/>
        </w:rPr>
        <w:t xml:space="preserve"> проблемы. В данной работе мы хотели обратить особое внимание на необходимость внедрения именно комплексного медико-социально-психологического подхода в лечении детей с СДВГ.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lastRenderedPageBreak/>
        <w:t>Надо отметить, что, к сожалению, в большинстве случаев родители таких детей обращаются за помощью либо перед поступлением в школу либо столкнувшись с первыми трудностями детей в обучении.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Наша многолетняя работа (с середины 1990-х годов) по сопровождению учебно-воспитательного процесса в начальной школе и по </w:t>
      </w:r>
      <w:proofErr w:type="gramStart"/>
      <w:r>
        <w:rPr>
          <w:rFonts w:ascii="Arial" w:hAnsi="Arial"/>
          <w:color w:val="000000"/>
        </w:rPr>
        <w:t>контролю за</w:t>
      </w:r>
      <w:proofErr w:type="gramEnd"/>
      <w:r>
        <w:rPr>
          <w:rFonts w:ascii="Arial" w:hAnsi="Arial"/>
          <w:color w:val="000000"/>
        </w:rPr>
        <w:t xml:space="preserve"> реабилитацией детей с СДВГ выявила значительные различия в эффективности лечения, которые с медицинской точки зрения не поддавались объяснению. Более детальное изучение особенностей образа жизни детей в случаях со стабильным положительным лечебным эффектом и сравнительный анализ аналогичного лечения, дающего незначительные положительные сдвиги, приводил и к однозначному выводу. Помимо остеопатического лечения, необходима специальная психологическая работа с ближайшим окружением ребенка, нормализация взаимоотношений в семье, минимизация учебных и особенно </w:t>
      </w:r>
      <w:proofErr w:type="spellStart"/>
      <w:r>
        <w:rPr>
          <w:rFonts w:ascii="Arial" w:hAnsi="Arial"/>
          <w:color w:val="000000"/>
        </w:rPr>
        <w:t>внеучебных</w:t>
      </w:r>
      <w:proofErr w:type="spellEnd"/>
      <w:r>
        <w:rPr>
          <w:rFonts w:ascii="Arial" w:hAnsi="Arial"/>
          <w:color w:val="000000"/>
        </w:rPr>
        <w:t xml:space="preserve"> нагрузок, сокращение интенсивности общения и обеспечение здорового образа жизни. Попытки прямого формирования самоконтроля с использованием </w:t>
      </w:r>
      <w:proofErr w:type="spellStart"/>
      <w:r>
        <w:rPr>
          <w:rFonts w:ascii="Arial" w:hAnsi="Arial"/>
          <w:color w:val="000000"/>
        </w:rPr>
        <w:t>бихевиоральной</w:t>
      </w:r>
      <w:proofErr w:type="spellEnd"/>
      <w:r>
        <w:rPr>
          <w:rFonts w:ascii="Arial" w:hAnsi="Arial"/>
          <w:color w:val="000000"/>
        </w:rPr>
        <w:t xml:space="preserve"> терапии, разработанной системы поощрений и наказаний, а также интенсивные занятия спортом, как показывали наши наблюдения за процессом лечения, давали минимальный положительный результат, а нередко приводили и к ухудшению самочувствия и поведения ребенка. С другой стороны, изолированное остеопатическое лечение, заключающееся в коррекции и уравновешивании </w:t>
      </w:r>
      <w:proofErr w:type="spellStart"/>
      <w:r>
        <w:rPr>
          <w:rFonts w:ascii="Arial" w:hAnsi="Arial"/>
          <w:color w:val="000000"/>
        </w:rPr>
        <w:t>краниосакральной</w:t>
      </w:r>
      <w:proofErr w:type="spellEnd"/>
      <w:r>
        <w:rPr>
          <w:rFonts w:ascii="Arial" w:hAnsi="Arial"/>
          <w:color w:val="000000"/>
        </w:rPr>
        <w:t xml:space="preserve"> и мышечно-скелетно-фасциальной систем, также не давало стойких положительных результатов. Результаты многолетнего сотрудничества легли в основу разработки схемы совместного ведения пациентов с СДВГ остеопатом и психологом.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b/>
          <w:bCs/>
          <w:color w:val="000000"/>
        </w:rPr>
        <w:t>Материал и методы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В 2002-2007 г. нами было проведено специальное сравнительное исследование результативности лечения детей 6-9 лет, страдающих СДВГ, в зависимости от условий жизни, в которых это лечение протекало. Одну группу составляли дети (n = 17), которым в период лечения был обеспечен энергосберегающий образ жизни и спокойная социальная обстановка. Другую группу составляли дети (n = 10), родители которых не смогли (или не посчитали нужным) снизить нагрузки и создать спокойную семейную обстановку. Эти дети продолжали посещать музыкальные кружки и спортивные секции, брали дополнительные уроки иностранного языка, занимались с логопедом, оставались в школе в группе продленного дня, а для коррекции поведения родители использовали методы </w:t>
      </w:r>
      <w:proofErr w:type="spellStart"/>
      <w:r>
        <w:rPr>
          <w:rFonts w:ascii="Arial" w:hAnsi="Arial"/>
          <w:color w:val="000000"/>
        </w:rPr>
        <w:t>бихевиоральной</w:t>
      </w:r>
      <w:proofErr w:type="spellEnd"/>
      <w:r>
        <w:rPr>
          <w:rFonts w:ascii="Arial" w:hAnsi="Arial"/>
          <w:color w:val="000000"/>
        </w:rPr>
        <w:t xml:space="preserve"> терапии, которые рекомендуются сегодня большинством зарубежных и отечественных психологов, консультирующих по проблемам СДВГ.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Дефицит внимания всеми специалистами признан в качестве основной характеристики данного заболевания, </w:t>
      </w:r>
      <w:proofErr w:type="gramStart"/>
      <w:r>
        <w:rPr>
          <w:rFonts w:ascii="Arial" w:hAnsi="Arial"/>
          <w:color w:val="000000"/>
        </w:rPr>
        <w:t>и</w:t>
      </w:r>
      <w:proofErr w:type="gramEnd"/>
      <w:r>
        <w:rPr>
          <w:rFonts w:ascii="Arial" w:hAnsi="Arial"/>
          <w:color w:val="000000"/>
        </w:rPr>
        <w:t xml:space="preserve"> следовательно, только по мере излечения у ребенка будет появляться способность к произвольному контролю собственных действий. В связи с этим эффективность лечения детей оценивалась нами не только по положительным изменениям в поведении, которые отмечались </w:t>
      </w:r>
      <w:r>
        <w:rPr>
          <w:rFonts w:ascii="Arial" w:hAnsi="Arial"/>
          <w:color w:val="000000"/>
        </w:rPr>
        <w:lastRenderedPageBreak/>
        <w:t>родителями и педагогами, но и с помощью объективного теста, измеряющего произвольное внимание. Для этой цели мы использовали переработанный и адаптированный к данной возрастной группе стимульный материал теста Тулуза-</w:t>
      </w:r>
      <w:proofErr w:type="spellStart"/>
      <w:r>
        <w:rPr>
          <w:rFonts w:ascii="Arial" w:hAnsi="Arial"/>
          <w:color w:val="000000"/>
        </w:rPr>
        <w:t>Пьерона</w:t>
      </w:r>
      <w:proofErr w:type="spellEnd"/>
      <w:r>
        <w:rPr>
          <w:rFonts w:ascii="Arial" w:hAnsi="Arial"/>
          <w:color w:val="000000"/>
        </w:rPr>
        <w:t xml:space="preserve">. Замеры производились перед началом остеопатического лечения и далее с интервалом в полгода в течение 2-3 лет. (Контрольную группу составляли здоровые дети соответствующего возраста.) До начала лечения значение коэффициента произвольного внимания у всех детей, страдающих СДВГ, колебалось от 0,750 до 0,860 и в среднем составляло 0,792. В соответствии с разработанными нами ранее нормативами (Л. А. </w:t>
      </w:r>
      <w:proofErr w:type="spellStart"/>
      <w:r>
        <w:rPr>
          <w:rFonts w:ascii="Arial" w:hAnsi="Arial"/>
          <w:color w:val="000000"/>
        </w:rPr>
        <w:t>Ясюкова</w:t>
      </w:r>
      <w:proofErr w:type="spellEnd"/>
      <w:r>
        <w:rPr>
          <w:rFonts w:ascii="Arial" w:hAnsi="Arial"/>
          <w:color w:val="000000"/>
        </w:rPr>
        <w:t xml:space="preserve">, 1997, 2002) это означало </w:t>
      </w:r>
      <w:proofErr w:type="spellStart"/>
      <w:r>
        <w:rPr>
          <w:rFonts w:ascii="Arial" w:hAnsi="Arial"/>
          <w:color w:val="000000"/>
        </w:rPr>
        <w:t>несформированность</w:t>
      </w:r>
      <w:proofErr w:type="spellEnd"/>
      <w:r>
        <w:rPr>
          <w:rFonts w:ascii="Arial" w:hAnsi="Arial"/>
          <w:color w:val="000000"/>
        </w:rPr>
        <w:t>, полное отсутствие произвольного внимания. Дети контрольной группы (25 человек) имели полноценно сформированное произвольное внимание, коэффициент внимательности был равен 0,964. (Различия по критерию Стьюдента между больными и здоровыми детьми статистически достоверны.)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b/>
          <w:bCs/>
          <w:color w:val="000000"/>
        </w:rPr>
        <w:t>Результаты и их обсуждение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В процессе психологического консультирования и параллельного остеопатического лечения детей были выделены две группы, в одной из которых родители строго выполняли наши рекомендации (группа I), а в другой группе (группа II) не смогли или не посчитали нужным это делать. На начальном этапе лечения положительные сдвиги были отмечены у всех детей. Однако некоторые различия в поведении и выполнении теста Тулуза-</w:t>
      </w:r>
      <w:proofErr w:type="spellStart"/>
      <w:r>
        <w:rPr>
          <w:rFonts w:ascii="Arial" w:hAnsi="Arial"/>
          <w:color w:val="000000"/>
        </w:rPr>
        <w:t>Пьерона</w:t>
      </w:r>
      <w:proofErr w:type="spellEnd"/>
      <w:r>
        <w:rPr>
          <w:rFonts w:ascii="Arial" w:hAnsi="Arial"/>
          <w:color w:val="000000"/>
        </w:rPr>
        <w:t xml:space="preserve"> между детьми выделенных двух групп появились уже с первого контрольного замера, проводившегося через полгода, но они не достигали уровня статистической достоверности. Через год произвольное внимание детей I группы фактически сравнялось с тем, которое характерно для здоровых детей (К = 0,958; различия со здоровыми детьми недостоверны), выровнялись также и поведение, и учеба. Произвольное внимание детей II группы оставалось на </w:t>
      </w:r>
      <w:proofErr w:type="spellStart"/>
      <w:r>
        <w:rPr>
          <w:rFonts w:ascii="Arial" w:hAnsi="Arial"/>
          <w:color w:val="000000"/>
        </w:rPr>
        <w:t>среднеслабом</w:t>
      </w:r>
      <w:proofErr w:type="spellEnd"/>
      <w:r>
        <w:rPr>
          <w:rFonts w:ascii="Arial" w:hAnsi="Arial"/>
          <w:color w:val="000000"/>
        </w:rPr>
        <w:t xml:space="preserve"> уровне в течение 2-3 лет наблюдения и улучшений не отмечалось (К = 0,923; различия в значениях коэффициента внимательности со здоровыми детьми и детьми I группы достоверны). У детей группы II сохранялись также проблемы в учебе (отвлекаемость на уроках, ошибки по невнимательности и пр.), в поведении (непослушание, конфликты, ссоры в школе и в семье), у половины детей появились отклонения в эмоционально-личностном развитии.</w:t>
      </w:r>
    </w:p>
    <w:p w:rsidR="00EE1718" w:rsidRDefault="00EE1718" w:rsidP="00EE1718">
      <w:p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Исследование подтвердило сделанные ранее на основе наблюдений выводы:</w:t>
      </w:r>
    </w:p>
    <w:p w:rsidR="00EE1718" w:rsidRDefault="00EE1718" w:rsidP="00EE1718">
      <w:pPr>
        <w:numPr>
          <w:ilvl w:val="0"/>
          <w:numId w:val="3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Возможности современных методов </w:t>
      </w:r>
      <w:proofErr w:type="spellStart"/>
      <w:r>
        <w:rPr>
          <w:rFonts w:ascii="Arial" w:hAnsi="Arial"/>
          <w:color w:val="000000"/>
        </w:rPr>
        <w:t>нейровизуализации</w:t>
      </w:r>
      <w:proofErr w:type="spellEnd"/>
      <w:r>
        <w:rPr>
          <w:rFonts w:ascii="Arial" w:hAnsi="Arial"/>
          <w:color w:val="000000"/>
        </w:rPr>
        <w:t xml:space="preserve"> и психологического тестирования позволяют не только уточнить диагноз СДВГ, но и объективно контролировать ход лечения.</w:t>
      </w:r>
    </w:p>
    <w:p w:rsidR="00EE1718" w:rsidRDefault="00EE1718" w:rsidP="00EE1718">
      <w:pPr>
        <w:numPr>
          <w:ilvl w:val="0"/>
          <w:numId w:val="3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 xml:space="preserve">Дети с СДВГ нуждаются в неотложном остеопатическом лечении мышечно-скелетно-фасциальной, и в первую очередь </w:t>
      </w:r>
      <w:proofErr w:type="spellStart"/>
      <w:r>
        <w:rPr>
          <w:rFonts w:ascii="Arial" w:hAnsi="Arial"/>
          <w:color w:val="000000"/>
        </w:rPr>
        <w:t>кранио</w:t>
      </w:r>
      <w:proofErr w:type="spellEnd"/>
      <w:r>
        <w:rPr>
          <w:rFonts w:ascii="Arial" w:hAnsi="Arial"/>
          <w:color w:val="000000"/>
        </w:rPr>
        <w:t>-сакральной, системы организма.</w:t>
      </w:r>
    </w:p>
    <w:p w:rsidR="00EE1718" w:rsidRDefault="00EE1718" w:rsidP="00EE1718">
      <w:pPr>
        <w:numPr>
          <w:ilvl w:val="0"/>
          <w:numId w:val="3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Дети с СДВГ нуждаются в психологической коррекции как неотъемлемой части лечения.</w:t>
      </w:r>
    </w:p>
    <w:p w:rsidR="00EE1718" w:rsidRDefault="00EE1718" w:rsidP="00EE1718">
      <w:pPr>
        <w:numPr>
          <w:ilvl w:val="0"/>
          <w:numId w:val="3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lastRenderedPageBreak/>
        <w:t xml:space="preserve">Активные </w:t>
      </w:r>
      <w:proofErr w:type="spellStart"/>
      <w:r>
        <w:rPr>
          <w:rFonts w:ascii="Arial" w:hAnsi="Arial"/>
          <w:color w:val="000000"/>
        </w:rPr>
        <w:t>энерготраты</w:t>
      </w:r>
      <w:proofErr w:type="spellEnd"/>
      <w:r>
        <w:rPr>
          <w:rFonts w:ascii="Arial" w:hAnsi="Arial"/>
          <w:color w:val="000000"/>
        </w:rPr>
        <w:t>, подвижные игры, спорт, разнообразные развивающие и репетиторские занятия, а также тренинги внимания и самоконтроля, последовательная требовательность и строгость со стороны родителей, воспитательная коррекция поведения с помощью системы поощрений и наказаний не усиливают, а снижают положительный эффект лечения СДВГ.</w:t>
      </w:r>
    </w:p>
    <w:p w:rsidR="00EE1718" w:rsidRDefault="00EE1718" w:rsidP="00EE1718">
      <w:pPr>
        <w:numPr>
          <w:ilvl w:val="0"/>
          <w:numId w:val="3"/>
        </w:numPr>
        <w:shd w:val="clear" w:color="auto" w:fill="FFFFFF"/>
        <w:jc w:val="both"/>
        <w:rPr>
          <w:rFonts w:ascii="Verdana" w:hAnsi="Verdana" w:cs="Times New Roman"/>
          <w:color w:val="000000"/>
        </w:rPr>
      </w:pPr>
      <w:r>
        <w:rPr>
          <w:rFonts w:ascii="Arial" w:hAnsi="Arial"/>
          <w:color w:val="000000"/>
        </w:rPr>
        <w:t>Обеспечение энергосберегающего образа жизни, размеренный режим дня, совместное выполнение бытовых обязанностей и помощь в выполнении учебной деятельности, снижение внешкольных нагрузок и минимизация группового общения оптимизируют процесс лечения и приводят к стабилизации положительного эффекта.</w:t>
      </w:r>
    </w:p>
    <w:p w:rsidR="001C3159" w:rsidRDefault="001C3159"/>
    <w:sectPr w:rsidR="001C3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626B9"/>
    <w:multiLevelType w:val="multilevel"/>
    <w:tmpl w:val="A69AE362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3460A37"/>
    <w:multiLevelType w:val="multilevel"/>
    <w:tmpl w:val="2DFEE97E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7C77297D"/>
    <w:multiLevelType w:val="multilevel"/>
    <w:tmpl w:val="A23A3008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718"/>
    <w:rsid w:val="001C3159"/>
    <w:rsid w:val="00B21C1C"/>
    <w:rsid w:val="00EE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718"/>
    <w:pPr>
      <w:spacing w:before="100" w:beforeAutospacing="1" w:after="100" w:afterAutospacing="1" w:line="273" w:lineRule="auto"/>
    </w:pPr>
    <w:rPr>
      <w:rFonts w:ascii="Calibri" w:eastAsia="Times New Roman" w:hAnsi="Calibri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718"/>
    <w:pPr>
      <w:spacing w:before="100" w:beforeAutospacing="1" w:after="100" w:afterAutospacing="1" w:line="273" w:lineRule="auto"/>
    </w:pPr>
    <w:rPr>
      <w:rFonts w:ascii="Calibri" w:eastAsia="Times New Roman" w:hAnsi="Calibri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khabal.evgenij@yandex.ru</dc:creator>
  <cp:lastModifiedBy>khabal.evgenij@yandex.ru</cp:lastModifiedBy>
  <cp:revision>2</cp:revision>
  <dcterms:created xsi:type="dcterms:W3CDTF">2025-05-11T05:46:00Z</dcterms:created>
  <dcterms:modified xsi:type="dcterms:W3CDTF">2025-05-11T05:46:00Z</dcterms:modified>
</cp:coreProperties>
</file>