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EEE3C8" w14:textId="26AD860A" w:rsidR="000A0C5F" w:rsidRPr="00A448AB" w:rsidRDefault="00D7710B" w:rsidP="00A448A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</w:t>
      </w:r>
      <w:r w:rsidR="000A0C5F" w:rsidRPr="00A448AB">
        <w:rPr>
          <w:rFonts w:ascii="Times New Roman" w:hAnsi="Times New Roman" w:cs="Times New Roman"/>
          <w:b/>
          <w:bCs/>
        </w:rPr>
        <w:t>АЗВИТИЕ ПОЗНАВАТЕЛЬНОЙ АКТИВНОСТИ МЛАДШИХ ШКОЛЬНИКОВ ЧЕРЕЗ ИГРОВЫЕ ТЕХНОЛОГИИ НА УРОКАХ МАТЕМАТИКИ</w:t>
      </w:r>
    </w:p>
    <w:p w14:paraId="214211FF" w14:textId="1A784F06" w:rsidR="000A0C5F" w:rsidRPr="00A448AB" w:rsidRDefault="000A0C5F" w:rsidP="00A448AB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bCs/>
        </w:rPr>
      </w:pPr>
      <w:r w:rsidRPr="00A448AB">
        <w:rPr>
          <w:rFonts w:ascii="Times New Roman" w:hAnsi="Times New Roman" w:cs="Times New Roman"/>
          <w:b/>
          <w:bCs/>
        </w:rPr>
        <w:t>Давыдова Ирина Владимировна</w:t>
      </w:r>
    </w:p>
    <w:p w14:paraId="03868D50" w14:textId="5C53504F" w:rsidR="000A0C5F" w:rsidRPr="00A448AB" w:rsidRDefault="000A0C5F" w:rsidP="00A448AB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</w:rPr>
      </w:pPr>
      <w:r w:rsidRPr="00A448AB">
        <w:rPr>
          <w:rFonts w:ascii="Times New Roman" w:hAnsi="Times New Roman" w:cs="Times New Roman"/>
          <w:i/>
          <w:iCs/>
        </w:rPr>
        <w:t>Магистрант</w:t>
      </w:r>
      <w:r w:rsidR="00B537F2" w:rsidRPr="00A448AB">
        <w:rPr>
          <w:rFonts w:ascii="Times New Roman" w:hAnsi="Times New Roman" w:cs="Times New Roman"/>
          <w:i/>
          <w:iCs/>
        </w:rPr>
        <w:t>,</w:t>
      </w:r>
      <w:r w:rsidRPr="00A448AB">
        <w:rPr>
          <w:rFonts w:ascii="Times New Roman" w:hAnsi="Times New Roman" w:cs="Times New Roman"/>
          <w:i/>
          <w:iCs/>
        </w:rPr>
        <w:t xml:space="preserve"> Чувашский государственный педагогический университет </w:t>
      </w:r>
      <w:proofErr w:type="spellStart"/>
      <w:r w:rsidRPr="00A448AB">
        <w:rPr>
          <w:rFonts w:ascii="Times New Roman" w:hAnsi="Times New Roman" w:cs="Times New Roman"/>
          <w:i/>
          <w:iCs/>
        </w:rPr>
        <w:t>им.И.Я.Яковлева</w:t>
      </w:r>
      <w:proofErr w:type="spellEnd"/>
    </w:p>
    <w:p w14:paraId="60775223" w14:textId="77777777" w:rsidR="00A448AB" w:rsidRPr="00A448AB" w:rsidRDefault="00A448AB" w:rsidP="00A448AB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>АННОТАЦИЯ</w:t>
      </w:r>
    </w:p>
    <w:p w14:paraId="5C96E8EC" w14:textId="77777777" w:rsidR="00A448AB" w:rsidRPr="00A448AB" w:rsidRDefault="00A448AB" w:rsidP="00A448A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>Статья посвящена исследованию влияния игровых технологий на развитие познавательной активности учащихся младших классов в процессе обучения математике. Рассмотрены теоретические аспекты игровой деятельности, её роль в формировании мотивации и познавательного интереса. Представлены результаты экспериментального внедрения игровых методов на уроках математики, подтверждающие их эффективность в повышении учебной вовлечённости и академической успеваемости.</w:t>
      </w:r>
    </w:p>
    <w:p w14:paraId="58E26D12" w14:textId="21671A0A" w:rsidR="00A448AB" w:rsidRPr="00A448AB" w:rsidRDefault="00A448AB" w:rsidP="00A448AB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>КЛЮЧЕВЫЕ СЛОВА:</w:t>
      </w:r>
    </w:p>
    <w:p w14:paraId="017F399D" w14:textId="77777777" w:rsidR="00A448AB" w:rsidRPr="00A448AB" w:rsidRDefault="00A448AB" w:rsidP="00A448A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>Познавательная активность, младшие школьники, игровые технологии, математика, мотивация, дидактические игры.</w:t>
      </w:r>
    </w:p>
    <w:p w14:paraId="4C88CB76" w14:textId="77777777" w:rsidR="00A448AB" w:rsidRDefault="00A448AB" w:rsidP="00A448A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084C60BF" w14:textId="0B5EBD17" w:rsidR="00A448AB" w:rsidRPr="00A448AB" w:rsidRDefault="00A448AB" w:rsidP="00A448A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>Современные образовательные стандарты (ФГОС НОО) акцентируют внимание на необходимости развития познавательной активности учащихся как основы для формирования универсальных учебных действий. В младшем школьном возрасте ведущей деятельностью остаётся игра, что делает её мощным инструментом педагогического воздействия. Однако традиционные методы преподавания математики часто игнорируют этот потенциал, что приводит к снижению интереса к предмету.</w:t>
      </w:r>
    </w:p>
    <w:p w14:paraId="23874AB3" w14:textId="77777777" w:rsidR="00A448AB" w:rsidRPr="00A448AB" w:rsidRDefault="00A448AB" w:rsidP="00A448A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>Цель исследования — обосновать эффективность игровых технологий в стимулировании познавательной активности на уроках математики.</w:t>
      </w:r>
    </w:p>
    <w:p w14:paraId="02E005AB" w14:textId="77777777" w:rsidR="00A448AB" w:rsidRPr="00A448AB" w:rsidRDefault="00A448AB" w:rsidP="00A448A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>Познавательная активность определяется как стремление к самостоятельному приобретению знаний, проявляющееся в инициативности и любознательности (Выготский, 1966). Для младших школьников ключевым условием её развития является эмоциональная вовлечённость, которую обеспечивают игровые формы обучения.</w:t>
      </w:r>
    </w:p>
    <w:p w14:paraId="0A75220F" w14:textId="77777777" w:rsidR="00A448AB" w:rsidRPr="00A448AB" w:rsidRDefault="00A448AB" w:rsidP="00A448A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>Игровые технологии в математике можно классифицировать следующим образом:</w:t>
      </w:r>
    </w:p>
    <w:p w14:paraId="37569DDB" w14:textId="77777777" w:rsidR="00A448AB" w:rsidRPr="00A448AB" w:rsidRDefault="00A448AB" w:rsidP="00A448A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>Дидактические игры (лото, ребусы, головоломки) — направлены на отработку конкретных навыков.</w:t>
      </w:r>
    </w:p>
    <w:p w14:paraId="46CF2374" w14:textId="77777777" w:rsidR="00A448AB" w:rsidRPr="00A448AB" w:rsidRDefault="00A448AB" w:rsidP="00A448A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>Сюжетно-ролевые игры («Математический магазин», «Путешествие в страну чисел») — способствуют применению знаний в нестандартных ситуациях.</w:t>
      </w:r>
    </w:p>
    <w:p w14:paraId="17437802" w14:textId="77777777" w:rsidR="00A448AB" w:rsidRPr="00A448AB" w:rsidRDefault="00A448AB" w:rsidP="00A448A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>Цифровые игры — интерактивные платформы, развивающие логику и пространственное мышление.</w:t>
      </w:r>
    </w:p>
    <w:p w14:paraId="7C69A600" w14:textId="77777777" w:rsidR="00A448AB" w:rsidRPr="00A448AB" w:rsidRDefault="00A448AB" w:rsidP="00A448A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>Как отмечает Д.Б. Эльконин (1999), игра создаёт «зону ближайшего развития», где дети осваивают новые действия под руководством учителя.</w:t>
      </w:r>
    </w:p>
    <w:p w14:paraId="694E39EF" w14:textId="77777777" w:rsidR="00A448AB" w:rsidRPr="00A448AB" w:rsidRDefault="00A448AB" w:rsidP="00A448A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>В эксперименте участвовали 60 учеников 2-х классов (30 — контрольная группа, 30 — экспериментальная). В течение полугода на уроках математики в экспериментальной группе использовались:</w:t>
      </w:r>
    </w:p>
    <w:p w14:paraId="2C981706" w14:textId="77777777" w:rsidR="00A448AB" w:rsidRPr="00A448AB" w:rsidRDefault="00A448AB" w:rsidP="00A448A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>Математические квесты с поиском «сокровищ» через решение задач.</w:t>
      </w:r>
    </w:p>
    <w:p w14:paraId="6C567E7D" w14:textId="057C9609" w:rsidR="00A448AB" w:rsidRPr="00A448AB" w:rsidRDefault="00A448AB" w:rsidP="00A448AB">
      <w:pPr>
        <w:pStyle w:val="a7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>н</w:t>
      </w:r>
      <w:r w:rsidRPr="00A448AB">
        <w:rPr>
          <w:rFonts w:ascii="Times New Roman" w:hAnsi="Times New Roman" w:cs="Times New Roman"/>
        </w:rPr>
        <w:t>астольные игры («Дроби-пазлы», «Считай-ка!»).</w:t>
      </w:r>
    </w:p>
    <w:p w14:paraId="17D7FBBC" w14:textId="77777777" w:rsidR="00A448AB" w:rsidRPr="00A448AB" w:rsidRDefault="00A448AB" w:rsidP="00A448AB">
      <w:pPr>
        <w:pStyle w:val="a7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>Интерактивные задания.</w:t>
      </w:r>
    </w:p>
    <w:p w14:paraId="7CA46C3A" w14:textId="77777777" w:rsidR="00A448AB" w:rsidRPr="00A448AB" w:rsidRDefault="00A448AB" w:rsidP="00A448A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>Познавательная активность оценивалась по критериям:</w:t>
      </w:r>
    </w:p>
    <w:p w14:paraId="7E4D112C" w14:textId="77777777" w:rsidR="00A448AB" w:rsidRPr="00A448AB" w:rsidRDefault="00A448AB" w:rsidP="00A448AB">
      <w:pPr>
        <w:pStyle w:val="a7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>Уровень вовлечённости (наблюдение).</w:t>
      </w:r>
    </w:p>
    <w:p w14:paraId="1775C3E9" w14:textId="77777777" w:rsidR="00A448AB" w:rsidRPr="00A448AB" w:rsidRDefault="00A448AB" w:rsidP="00A448AB">
      <w:pPr>
        <w:pStyle w:val="a7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>Результаты контрольных работ.</w:t>
      </w:r>
    </w:p>
    <w:p w14:paraId="684460A7" w14:textId="77777777" w:rsidR="00A448AB" w:rsidRPr="00A448AB" w:rsidRDefault="00A448AB" w:rsidP="00A448AB">
      <w:pPr>
        <w:pStyle w:val="a7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>Анкетирование учащихся на предмет интереса к предмету.</w:t>
      </w:r>
    </w:p>
    <w:p w14:paraId="1C83D46E" w14:textId="77777777" w:rsidR="00A448AB" w:rsidRPr="00A448AB" w:rsidRDefault="00A448AB" w:rsidP="00A448A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>В экспериментальной группе зафиксировано:</w:t>
      </w:r>
    </w:p>
    <w:p w14:paraId="2C7AC414" w14:textId="77777777" w:rsidR="00A448AB" w:rsidRPr="00A448AB" w:rsidRDefault="00A448AB" w:rsidP="00A448AB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>Увеличение среднего балла за контрольные работы на 22% (с 3.8 до 4.6).</w:t>
      </w:r>
    </w:p>
    <w:p w14:paraId="10C82888" w14:textId="77777777" w:rsidR="00A448AB" w:rsidRPr="00A448AB" w:rsidRDefault="00A448AB" w:rsidP="00A448AB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lastRenderedPageBreak/>
        <w:t>Рост числа учащихся с высокой познавательной активностью с 40% до 75%.</w:t>
      </w:r>
    </w:p>
    <w:p w14:paraId="2D163687" w14:textId="77777777" w:rsidR="00A448AB" w:rsidRPr="00A448AB" w:rsidRDefault="00A448AB" w:rsidP="00A448AB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>90% детей отметили, что уроки стали «интереснее».</w:t>
      </w:r>
    </w:p>
    <w:p w14:paraId="75C41668" w14:textId="77777777" w:rsidR="00A448AB" w:rsidRPr="00A448AB" w:rsidRDefault="00A448AB" w:rsidP="00A448A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>В контрольной группе динамика оказалась незначительной (рост среднего балла на 5%).</w:t>
      </w:r>
    </w:p>
    <w:p w14:paraId="59056F5C" w14:textId="77777777" w:rsidR="00A448AB" w:rsidRPr="00A448AB" w:rsidRDefault="00A448AB" w:rsidP="00A448A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>Полученные данные согласуются с исследованиями J. Smith (2018), доказавшими, что геймификация усиливает мотивацию через немедленную обратную связь и элемент соревновательности.</w:t>
      </w:r>
    </w:p>
    <w:p w14:paraId="23A59D90" w14:textId="77777777" w:rsidR="00A448AB" w:rsidRPr="00A448AB" w:rsidRDefault="00A448AB" w:rsidP="00A448A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>Важным условием эффективности является:</w:t>
      </w:r>
    </w:p>
    <w:p w14:paraId="74254F84" w14:textId="77777777" w:rsidR="00A448AB" w:rsidRPr="00A448AB" w:rsidRDefault="00A448AB" w:rsidP="00A448AB">
      <w:pPr>
        <w:pStyle w:val="a7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>Дозированное использование игр.</w:t>
      </w:r>
    </w:p>
    <w:p w14:paraId="7E0DA485" w14:textId="77777777" w:rsidR="00A448AB" w:rsidRPr="00A448AB" w:rsidRDefault="00A448AB" w:rsidP="00A448AB">
      <w:pPr>
        <w:pStyle w:val="a7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>Их связь с учебными целями.</w:t>
      </w:r>
    </w:p>
    <w:p w14:paraId="40D31307" w14:textId="77777777" w:rsidR="00A448AB" w:rsidRPr="00A448AB" w:rsidRDefault="00A448AB" w:rsidP="00A448AB">
      <w:pPr>
        <w:pStyle w:val="a7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>Чередование с другими формами работы.</w:t>
      </w:r>
    </w:p>
    <w:p w14:paraId="63DC9F00" w14:textId="77777777" w:rsidR="00A448AB" w:rsidRPr="00A448AB" w:rsidRDefault="00A448AB" w:rsidP="00A448A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>Например, интеграция цифровых платформ позволяет не только автоматизировать проверку заданий, но и адаптировать уровень сложности под индивидуальные потребности учащихся. Однако, как подчёркивает И.В. Петрова (2020), чрезмерное увлечение цифровыми инструментами без контроля педагога может снизить эффективность межличностного взаимодействия в классе.</w:t>
      </w:r>
    </w:p>
    <w:p w14:paraId="448994AC" w14:textId="77777777" w:rsidR="00A448AB" w:rsidRPr="00A448AB" w:rsidRDefault="00A448AB" w:rsidP="00A448A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>Интересно, что аналогичные результаты были получены в исследовании Г.В. Ковалёвой (2019), где применение настольных игр на уроках математики повысило уровень коллективной работы учащихся. В нашем эксперименте 68% детей отметили, что совместное решение задач в формате квеста помогло им лучше понять материал. Это подтверждает тезис Л.С. Выготского о социальной природе познавательной активности: взаимодействие со сверстниками в игровой среде стимулирует рефлексию и критическое мышление.</w:t>
      </w:r>
    </w:p>
    <w:p w14:paraId="7F3977B4" w14:textId="77777777" w:rsidR="00A448AB" w:rsidRPr="00A448AB" w:rsidRDefault="00A448AB" w:rsidP="00A448A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>Ограничения исследования:</w:t>
      </w:r>
    </w:p>
    <w:p w14:paraId="025BF42D" w14:textId="77777777" w:rsidR="00A448AB" w:rsidRPr="00A448AB" w:rsidRDefault="00A448AB" w:rsidP="00A448AB">
      <w:pPr>
        <w:pStyle w:val="a7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>Относительно небольшая выборка (60 учащихся).</w:t>
      </w:r>
    </w:p>
    <w:p w14:paraId="1C92BA41" w14:textId="77777777" w:rsidR="00A448AB" w:rsidRPr="00A448AB" w:rsidRDefault="00A448AB" w:rsidP="00A448AB">
      <w:pPr>
        <w:pStyle w:val="a7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>Короткий срок эксперимента (6 месяцев).</w:t>
      </w:r>
    </w:p>
    <w:p w14:paraId="4F835B07" w14:textId="77777777" w:rsidR="00A448AB" w:rsidRPr="00A448AB" w:rsidRDefault="00A448AB" w:rsidP="00A448A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>Для подтверждения долгосрочного эффекта игровых технологий необходимы лонгитюдные исследования с участием разных возрастных групп. Кроме того, стоит учитывать различия в доступе к цифровым ресурсам: в школах с низкой технической оснащённостью акцент следует делать на настольные и сюжетно-ролевые игры.</w:t>
      </w:r>
    </w:p>
    <w:p w14:paraId="3BF5157A" w14:textId="77777777" w:rsidR="00A448AB" w:rsidRPr="00A448AB" w:rsidRDefault="00A448AB" w:rsidP="00A448A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>Внедрение игровых технологий в уроки математики способствует не только повышению успеваемости, но и формированию устойчивого познавательного интереса.</w:t>
      </w:r>
    </w:p>
    <w:p w14:paraId="4149057E" w14:textId="77777777" w:rsidR="00A448AB" w:rsidRPr="00A448AB" w:rsidRDefault="00A448AB" w:rsidP="00A448A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>Рекомендации:</w:t>
      </w:r>
    </w:p>
    <w:p w14:paraId="10A71DE4" w14:textId="77777777" w:rsidR="00A448AB" w:rsidRPr="00A448AB" w:rsidRDefault="00A448AB" w:rsidP="00A448A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>Включать игровые элементы в каждый этап урока:</w:t>
      </w:r>
    </w:p>
    <w:p w14:paraId="0A3B6446" w14:textId="77777777" w:rsidR="00A448AB" w:rsidRPr="00A448AB" w:rsidRDefault="00A448AB" w:rsidP="00A448AB">
      <w:pPr>
        <w:pStyle w:val="a7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>На этапе актуализации знаний — математические ребусы.</w:t>
      </w:r>
    </w:p>
    <w:p w14:paraId="6211BFDD" w14:textId="77777777" w:rsidR="00A448AB" w:rsidRPr="00A448AB" w:rsidRDefault="00A448AB" w:rsidP="00A448AB">
      <w:pPr>
        <w:pStyle w:val="a7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>При изучении нового материала — сюжетные игры.</w:t>
      </w:r>
    </w:p>
    <w:p w14:paraId="6C0783F2" w14:textId="77777777" w:rsidR="00A448AB" w:rsidRPr="00A448AB" w:rsidRDefault="00A448AB" w:rsidP="00A448AB">
      <w:pPr>
        <w:pStyle w:val="a7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>Для закрепления — интерактивные викторины.</w:t>
      </w:r>
    </w:p>
    <w:p w14:paraId="63A3C290" w14:textId="77777777" w:rsidR="00A448AB" w:rsidRPr="00A448AB" w:rsidRDefault="00A448AB" w:rsidP="00A448AB">
      <w:pPr>
        <w:pStyle w:val="a7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>Сочетать игровую динамику с глубокой проработкой математических концепций.</w:t>
      </w:r>
    </w:p>
    <w:p w14:paraId="73B8A633" w14:textId="77777777" w:rsidR="00A448AB" w:rsidRPr="00A448AB" w:rsidRDefault="00A448AB" w:rsidP="00A448AB">
      <w:pPr>
        <w:pStyle w:val="a7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>Разрабатывать сценарии, соответствующие образовательным стандартам (ФГОС НОО).</w:t>
      </w:r>
    </w:p>
    <w:p w14:paraId="06A06EB1" w14:textId="77777777" w:rsidR="00A448AB" w:rsidRPr="00A448AB" w:rsidRDefault="00A448AB" w:rsidP="00A448A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>Перспективы дальнейших исследований:</w:t>
      </w:r>
    </w:p>
    <w:p w14:paraId="7F7A7494" w14:textId="77777777" w:rsidR="00A448AB" w:rsidRPr="00A448AB" w:rsidRDefault="00A448AB" w:rsidP="00A448AB">
      <w:pPr>
        <w:pStyle w:val="a7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>Сравнение эффективности различных типов игр (дидактических, цифровых, проектных).</w:t>
      </w:r>
    </w:p>
    <w:p w14:paraId="3811E40E" w14:textId="77777777" w:rsidR="00A448AB" w:rsidRPr="00A448AB" w:rsidRDefault="00A448AB" w:rsidP="00A448AB">
      <w:pPr>
        <w:pStyle w:val="a7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>Изучение влияния игровых технологий в условиях инклюзивного образования.</w:t>
      </w:r>
    </w:p>
    <w:p w14:paraId="2166B9AA" w14:textId="6A4ADFC6" w:rsidR="00A448AB" w:rsidRDefault="00A448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577AF95" w14:textId="77777777" w:rsidR="00A448AB" w:rsidRPr="00A448AB" w:rsidRDefault="00A448AB" w:rsidP="00A448A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7CED7AA8" w14:textId="77777777" w:rsidR="00A448AB" w:rsidRPr="00A448AB" w:rsidRDefault="00A448AB" w:rsidP="00A448AB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>СПИСОК ЛИТЕРАТУРЫ</w:t>
      </w:r>
    </w:p>
    <w:p w14:paraId="3D877F4F" w14:textId="77777777" w:rsidR="00A448AB" w:rsidRPr="00A448AB" w:rsidRDefault="00A448AB" w:rsidP="00A448A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>Выготский Л.С. Игра и её роль в психическом развитии ребёнка. – М.: Просвещение, 1966.</w:t>
      </w:r>
    </w:p>
    <w:p w14:paraId="363128E0" w14:textId="77777777" w:rsidR="00A448AB" w:rsidRPr="00A448AB" w:rsidRDefault="00A448AB" w:rsidP="00A448A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 xml:space="preserve">Эльконин Д.Б. Психология игры. – М.: </w:t>
      </w:r>
      <w:proofErr w:type="spellStart"/>
      <w:r w:rsidRPr="00A448AB">
        <w:rPr>
          <w:rFonts w:ascii="Times New Roman" w:hAnsi="Times New Roman" w:cs="Times New Roman"/>
        </w:rPr>
        <w:t>Владос</w:t>
      </w:r>
      <w:proofErr w:type="spellEnd"/>
      <w:r w:rsidRPr="00A448AB">
        <w:rPr>
          <w:rFonts w:ascii="Times New Roman" w:hAnsi="Times New Roman" w:cs="Times New Roman"/>
        </w:rPr>
        <w:t>, 1999.</w:t>
      </w:r>
    </w:p>
    <w:p w14:paraId="0C452A0E" w14:textId="77777777" w:rsidR="00A448AB" w:rsidRPr="00A448AB" w:rsidRDefault="00A448AB" w:rsidP="00A448A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>Федеральный государственный образовательный стандарт начального общего образования. – М.: Просвещение, 2021.</w:t>
      </w:r>
    </w:p>
    <w:p w14:paraId="2AAFF543" w14:textId="77777777" w:rsidR="00A448AB" w:rsidRPr="00A448AB" w:rsidRDefault="00A448AB" w:rsidP="00A448A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>Петрова И.В. Игровые технологии в обучении математике младших школьников // Начальная школа. – 2020. – №5. – С. 45-50.</w:t>
      </w:r>
    </w:p>
    <w:p w14:paraId="0BD54EF6" w14:textId="77777777" w:rsidR="00A448AB" w:rsidRPr="00A448AB" w:rsidRDefault="00A448AB" w:rsidP="00A448AB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en-US"/>
        </w:rPr>
      </w:pPr>
      <w:r w:rsidRPr="00A448AB">
        <w:rPr>
          <w:rFonts w:ascii="Times New Roman" w:hAnsi="Times New Roman" w:cs="Times New Roman"/>
          <w:lang w:val="en-US"/>
        </w:rPr>
        <w:t>Smith J. Game-Based Learning in Mathematics Education. – Springer, 2018.</w:t>
      </w:r>
    </w:p>
    <w:p w14:paraId="4DCFC774" w14:textId="77777777" w:rsidR="00A448AB" w:rsidRPr="00A448AB" w:rsidRDefault="00A448AB" w:rsidP="00A448A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448AB">
        <w:rPr>
          <w:rFonts w:ascii="Times New Roman" w:hAnsi="Times New Roman" w:cs="Times New Roman"/>
        </w:rPr>
        <w:t>Ковалёва Г.В. Современные подходы к игровому обучению математике в начальной школе // Педагогические инновации. – 2019. – №3. – С. 28-34.</w:t>
      </w:r>
    </w:p>
    <w:p w14:paraId="3BE1F03B" w14:textId="6765EF38" w:rsidR="00B537F2" w:rsidRPr="00A448AB" w:rsidRDefault="00A448AB" w:rsidP="00A448AB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en-US"/>
        </w:rPr>
      </w:pPr>
      <w:r w:rsidRPr="00A448AB">
        <w:rPr>
          <w:rFonts w:ascii="Times New Roman" w:hAnsi="Times New Roman" w:cs="Times New Roman"/>
          <w:lang w:val="en-US"/>
        </w:rPr>
        <w:t>Johnson L., Adams S. Technology Outlook for STEM+ Education. – The New Media Consortium, 2017</w:t>
      </w:r>
    </w:p>
    <w:sectPr w:rsidR="00B537F2" w:rsidRPr="00A448AB" w:rsidSect="000A0C5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F7372"/>
    <w:multiLevelType w:val="hybridMultilevel"/>
    <w:tmpl w:val="664E176E"/>
    <w:lvl w:ilvl="0" w:tplc="F6302F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4D16DB4"/>
    <w:multiLevelType w:val="multilevel"/>
    <w:tmpl w:val="CD720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C16BB4"/>
    <w:multiLevelType w:val="multilevel"/>
    <w:tmpl w:val="2E607B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145CDA"/>
    <w:multiLevelType w:val="hybridMultilevel"/>
    <w:tmpl w:val="B89E3B14"/>
    <w:lvl w:ilvl="0" w:tplc="F6302F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8E0359D"/>
    <w:multiLevelType w:val="hybridMultilevel"/>
    <w:tmpl w:val="F1E436AA"/>
    <w:lvl w:ilvl="0" w:tplc="F6302F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8ED0DB4"/>
    <w:multiLevelType w:val="hybridMultilevel"/>
    <w:tmpl w:val="BEB26284"/>
    <w:lvl w:ilvl="0" w:tplc="F6302F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F9913E6"/>
    <w:multiLevelType w:val="hybridMultilevel"/>
    <w:tmpl w:val="228234D4"/>
    <w:lvl w:ilvl="0" w:tplc="F6302F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41E7C5B"/>
    <w:multiLevelType w:val="hybridMultilevel"/>
    <w:tmpl w:val="EF7C1414"/>
    <w:lvl w:ilvl="0" w:tplc="F6302F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F582DB7"/>
    <w:multiLevelType w:val="multilevel"/>
    <w:tmpl w:val="0F78A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0E497B"/>
    <w:multiLevelType w:val="multilevel"/>
    <w:tmpl w:val="7BAAB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00251F"/>
    <w:multiLevelType w:val="multilevel"/>
    <w:tmpl w:val="AD6ED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A414A6"/>
    <w:multiLevelType w:val="multilevel"/>
    <w:tmpl w:val="BDA87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5D746C5"/>
    <w:multiLevelType w:val="hybridMultilevel"/>
    <w:tmpl w:val="6F3240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DD96A77"/>
    <w:multiLevelType w:val="hybridMultilevel"/>
    <w:tmpl w:val="5E565D90"/>
    <w:lvl w:ilvl="0" w:tplc="F6302F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ADA4CA9"/>
    <w:multiLevelType w:val="multilevel"/>
    <w:tmpl w:val="7D3E5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D1B3798"/>
    <w:multiLevelType w:val="multilevel"/>
    <w:tmpl w:val="E884C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910310"/>
    <w:multiLevelType w:val="multilevel"/>
    <w:tmpl w:val="550C2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31215875">
    <w:abstractNumId w:val="2"/>
  </w:num>
  <w:num w:numId="2" w16cid:durableId="1713731431">
    <w:abstractNumId w:val="8"/>
  </w:num>
  <w:num w:numId="3" w16cid:durableId="810638968">
    <w:abstractNumId w:val="15"/>
  </w:num>
  <w:num w:numId="4" w16cid:durableId="444740979">
    <w:abstractNumId w:val="10"/>
  </w:num>
  <w:num w:numId="5" w16cid:durableId="662054539">
    <w:abstractNumId w:val="9"/>
  </w:num>
  <w:num w:numId="6" w16cid:durableId="846988047">
    <w:abstractNumId w:val="11"/>
  </w:num>
  <w:num w:numId="7" w16cid:durableId="304093401">
    <w:abstractNumId w:val="1"/>
  </w:num>
  <w:num w:numId="8" w16cid:durableId="618026135">
    <w:abstractNumId w:val="16"/>
  </w:num>
  <w:num w:numId="9" w16cid:durableId="94447356">
    <w:abstractNumId w:val="14"/>
  </w:num>
  <w:num w:numId="10" w16cid:durableId="1723408004">
    <w:abstractNumId w:val="12"/>
  </w:num>
  <w:num w:numId="11" w16cid:durableId="765882736">
    <w:abstractNumId w:val="13"/>
  </w:num>
  <w:num w:numId="12" w16cid:durableId="68769147">
    <w:abstractNumId w:val="3"/>
  </w:num>
  <w:num w:numId="13" w16cid:durableId="1712728797">
    <w:abstractNumId w:val="4"/>
  </w:num>
  <w:num w:numId="14" w16cid:durableId="1268731592">
    <w:abstractNumId w:val="6"/>
  </w:num>
  <w:num w:numId="15" w16cid:durableId="973171915">
    <w:abstractNumId w:val="0"/>
  </w:num>
  <w:num w:numId="16" w16cid:durableId="1063210426">
    <w:abstractNumId w:val="7"/>
  </w:num>
  <w:num w:numId="17" w16cid:durableId="3840691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550"/>
    <w:rsid w:val="000A0C5F"/>
    <w:rsid w:val="001A018A"/>
    <w:rsid w:val="00377585"/>
    <w:rsid w:val="005E3FA0"/>
    <w:rsid w:val="005F792D"/>
    <w:rsid w:val="00690550"/>
    <w:rsid w:val="006B1028"/>
    <w:rsid w:val="006F5BBC"/>
    <w:rsid w:val="00736258"/>
    <w:rsid w:val="00A448AB"/>
    <w:rsid w:val="00B537F2"/>
    <w:rsid w:val="00CA5452"/>
    <w:rsid w:val="00CF5A55"/>
    <w:rsid w:val="00D7710B"/>
    <w:rsid w:val="00F37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A834C"/>
  <w15:chartTrackingRefBased/>
  <w15:docId w15:val="{12002ACD-C91C-44B9-8614-4AF71B545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905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05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055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05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55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5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5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5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5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055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905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9055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9055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9055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9055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9055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9055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9055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905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905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905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905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905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9055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9055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9055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9055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9055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90550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5E3FA0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5E3F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619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892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9</cp:revision>
  <dcterms:created xsi:type="dcterms:W3CDTF">2025-04-27T08:58:00Z</dcterms:created>
  <dcterms:modified xsi:type="dcterms:W3CDTF">2025-05-11T16:41:00Z</dcterms:modified>
</cp:coreProperties>
</file>