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ПРОФИЛАКТИКИ </w:t>
      </w:r>
      <w:r>
        <w:rPr>
          <w:rFonts w:ascii="Times New Roman" w:hAnsi="Times New Roman"/>
          <w:sz w:val="28"/>
        </w:rPr>
        <w:t>СОЦИАЛЬНО-ЗНАЧИМЫ</w:t>
      </w:r>
      <w:r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 БОЛЕЗН</w:t>
      </w:r>
      <w:r>
        <w:rPr>
          <w:rFonts w:ascii="Times New Roman" w:hAnsi="Times New Roman"/>
          <w:sz w:val="28"/>
        </w:rPr>
        <w:t>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СРЕДИ</w:t>
      </w:r>
      <w:r>
        <w:rPr>
          <w:rFonts w:ascii="Times New Roman" w:hAnsi="Times New Roman"/>
          <w:sz w:val="28"/>
        </w:rPr>
        <w:t xml:space="preserve"> ЖИТЕЛЕЙ ШКОЛЬНОГО ВОЗРАСТА </w:t>
      </w:r>
      <w:r>
        <w:rPr>
          <w:rFonts w:ascii="Times New Roman" w:hAnsi="Times New Roman"/>
          <w:sz w:val="28"/>
        </w:rPr>
        <w:t xml:space="preserve"> СМОЛЕНСК</w:t>
      </w:r>
      <w:r>
        <w:rPr>
          <w:rFonts w:ascii="Times New Roman" w:hAnsi="Times New Roman"/>
          <w:sz w:val="28"/>
        </w:rPr>
        <w:t>ОЙ ОБЛАСТИ</w:t>
      </w:r>
      <w:r>
        <w:rPr>
          <w:rFonts w:ascii="Times New Roman" w:hAnsi="Times New Roman"/>
          <w:sz w:val="28"/>
        </w:rPr>
        <w:t xml:space="preserve"> СВЯЗАННЫХ С ОТСУТСТВИЕМ ФИЗИЧЕСКОЙ НАГРУЗКИ.</w:t>
      </w:r>
    </w:p>
    <w:p w14:paraId="02000000">
      <w:pPr>
        <w:spacing w:after="0" w:line="360" w:lineRule="auto"/>
        <w:ind/>
        <w:jc w:val="righ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Потемкина М.М</w:t>
      </w:r>
      <w:r>
        <w:rPr>
          <w:rFonts w:ascii="Times New Roman" w:hAnsi="Times New Roman"/>
          <w:i w:val="1"/>
          <w:sz w:val="28"/>
        </w:rPr>
        <w:t>.</w:t>
      </w:r>
      <w:r>
        <w:rPr>
          <w:rFonts w:ascii="Times New Roman" w:hAnsi="Times New Roman"/>
          <w:i w:val="1"/>
          <w:sz w:val="28"/>
        </w:rPr>
        <w:t>-</w:t>
      </w:r>
      <w:bookmarkStart w:id="1" w:name="_GoBack"/>
      <w:bookmarkEnd w:id="1"/>
      <w:r>
        <w:rPr>
          <w:rFonts w:ascii="Times New Roman" w:hAnsi="Times New Roman"/>
          <w:i w:val="1"/>
          <w:sz w:val="28"/>
        </w:rPr>
        <w:t xml:space="preserve"> </w:t>
      </w:r>
      <w:r>
        <w:rPr>
          <w:rFonts w:ascii="Times New Roman" w:hAnsi="Times New Roman"/>
          <w:i w:val="1"/>
          <w:sz w:val="28"/>
        </w:rPr>
        <w:t>учитель физической культуры</w:t>
      </w:r>
    </w:p>
    <w:p w14:paraId="03000000">
      <w:pPr>
        <w:spacing w:after="0" w:line="360" w:lineRule="auto"/>
        <w:ind/>
        <w:jc w:val="right"/>
        <w:rPr>
          <w:rFonts w:ascii="Times New Roman" w:hAnsi="Times New Roman"/>
          <w:i w:val="1"/>
          <w:sz w:val="28"/>
        </w:rPr>
      </w:pPr>
      <w:r>
        <w:rPr>
          <w:rFonts w:ascii="Times New Roman" w:hAnsi="Times New Roman"/>
          <w:i w:val="1"/>
          <w:sz w:val="28"/>
        </w:rPr>
        <w:t>МБОУ СШ №1, г. Смоленск</w:t>
      </w:r>
    </w:p>
    <w:p w14:paraId="04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05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определению «социально значимые болезни» - это болезни, возникновение и (или) распространение которых в определяющей степени зависит от социально экономических условий». Основной признак таких болезней – массовость, а лечение таких больных требует государственных мер, поскольку в противном случае растет общий уровень заболеваемости населения страны, </w:t>
      </w:r>
      <w:r>
        <w:rPr>
          <w:rFonts w:ascii="Times New Roman" w:hAnsi="Times New Roman"/>
          <w:sz w:val="28"/>
        </w:rPr>
        <w:t>инвалидизация</w:t>
      </w:r>
      <w:r>
        <w:rPr>
          <w:rFonts w:ascii="Times New Roman" w:hAnsi="Times New Roman"/>
          <w:sz w:val="28"/>
        </w:rPr>
        <w:t>, смертность, сокращается продолжительность жизни населения и, как следствие, имеют место негативные макроэкономические  последствия.</w:t>
      </w:r>
    </w:p>
    <w:p w14:paraId="06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вопросов, связанных с проблемой социально значимых болезней в России,  регулируется  Федеральным Законом РФ «Об основах охраны здоровья граждан» ст. 43 №323-ФЗ (от 21.11.2011г.) и постановлением Правительства РФ «Об утверждении перечня социально значимых заболеваний и перечня заболеваний, представляющих опасность для окружающих»  №715 (ред. от 13.07.2012).  Кроме того, в нашей стране в течение 2007-2012 </w:t>
      </w:r>
      <w:r>
        <w:rPr>
          <w:rFonts w:ascii="Times New Roman" w:hAnsi="Times New Roman"/>
          <w:sz w:val="28"/>
        </w:rPr>
        <w:t>г.г</w:t>
      </w:r>
      <w:r>
        <w:rPr>
          <w:rFonts w:ascii="Times New Roman" w:hAnsi="Times New Roman"/>
          <w:sz w:val="28"/>
        </w:rPr>
        <w:t>. была  реализована  Федеральная целевая программа «Предупреждение и борьба с социально значимыми заболеваниями».</w:t>
      </w:r>
    </w:p>
    <w:p w14:paraId="07000000">
      <w:pPr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Перечню социально значимых заболеваний к ним относятся: туберкулез, инфекции передающиеся половым путем, гепатит В, гепатит С, ВИЧ, злокачественные новообразования, сахарный диабет, психические расстройства и расстройства поведения, болезни, характеризующиеся повышенным кровяным давлением, </w:t>
      </w:r>
      <w:r>
        <w:rPr>
          <w:rFonts w:ascii="Times New Roman" w:hAnsi="Times New Roman"/>
          <w:sz w:val="28"/>
        </w:rPr>
        <w:t>алкогольная</w:t>
      </w:r>
      <w:r>
        <w:rPr>
          <w:rFonts w:ascii="Times New Roman" w:hAnsi="Times New Roman"/>
          <w:sz w:val="28"/>
        </w:rPr>
        <w:t>,н</w:t>
      </w:r>
      <w:r>
        <w:rPr>
          <w:rFonts w:ascii="Times New Roman" w:hAnsi="Times New Roman"/>
          <w:sz w:val="28"/>
        </w:rPr>
        <w:t>аркотическая</w:t>
      </w:r>
      <w:r>
        <w:rPr>
          <w:rFonts w:ascii="Times New Roman" w:hAnsi="Times New Roman"/>
          <w:sz w:val="28"/>
        </w:rPr>
        <w:t xml:space="preserve"> зависимости.</w:t>
      </w:r>
    </w:p>
    <w:p w14:paraId="08000000">
      <w:pPr>
        <w:tabs>
          <w:tab w:leader="none" w:pos="9355" w:val="right"/>
        </w:tabs>
        <w:spacing w:after="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Как видно из табл. 1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по данным Росстата Смоленской области, показатели заболеваемости населения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основным</w:t>
      </w:r>
      <w:r>
        <w:rPr>
          <w:rFonts w:ascii="Times New Roman" w:hAnsi="Times New Roman"/>
          <w:sz w:val="28"/>
        </w:rPr>
        <w:t xml:space="preserve"> классам болезней в период с 2012 по 2015 годы имеют тенденцию  к снижению, за исключением </w:t>
      </w:r>
      <w:r>
        <w:rPr>
          <w:rFonts w:ascii="Times New Roman" w:hAnsi="Times New Roman"/>
          <w:sz w:val="28"/>
        </w:rPr>
        <w:t xml:space="preserve">болезней эндокринной системы, расстройств питания, нарушения обмена веществ. </w:t>
      </w:r>
    </w:p>
    <w:p w14:paraId="09000000">
      <w:pPr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1 - Заболеваемость населения Смоленской области по основным классам болезней (зарегистрировано пациентов с диагнозом, установленным впервые в жизни)</w:t>
      </w:r>
      <w:r>
        <w:rPr>
          <w:rFonts w:ascii="Times New Roman" w:hAnsi="Times New Roman"/>
          <w:sz w:val="28"/>
        </w:rPr>
        <w:t xml:space="preserve"> по данным Росстата Смоленской области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6341"/>
        <w:gridCol w:w="970"/>
        <w:gridCol w:w="971"/>
        <w:gridCol w:w="1074"/>
      </w:tblGrid>
      <w:tr>
        <w:tc>
          <w:tcPr>
            <w:tcW w:type="dxa" w:w="634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Все болезни-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2013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2015</w:t>
            </w:r>
          </w:p>
        </w:tc>
      </w:tr>
      <w:tr>
        <w:tc>
          <w:tcPr>
            <w:tcW w:type="dxa" w:w="634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301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Всего, тысяч человек / </w:t>
            </w:r>
          </w:p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1000 населения</w:t>
            </w:r>
          </w:p>
        </w:tc>
      </w:tr>
      <w:tr>
        <w:tc>
          <w:tcPr>
            <w:tcW w:type="dxa" w:w="634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736,3 / 757,9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649,8 / 719,0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659,4 / 685,6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том числе: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некоторые инфекционные и паразитарные болезни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28,1 / 29,0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28,8 / 29,8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24,6 / 25,6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новообразования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14,9 / 15,4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12,0 / 12,4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8,1 / </w:t>
            </w:r>
          </w:p>
          <w:p w14:paraId="1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8,4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крови, кроветворных органов и отдельные нарушения, вовлекающие иммунный механизм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2,8 /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2,9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2,9 / </w:t>
            </w:r>
          </w:p>
          <w:p w14:paraId="2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3,0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2,6 / </w:t>
            </w:r>
          </w:p>
          <w:p w14:paraId="2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2,7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spacing w:after="0" w:line="240" w:lineRule="auto"/>
              <w:ind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болезни эндокринной системы, расстройства питания, нарушения обмена веществ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11,0 /</w:t>
            </w:r>
          </w:p>
          <w:p w14:paraId="2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11,3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12,0 / </w:t>
            </w:r>
          </w:p>
          <w:p w14:paraId="2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12,4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 xml:space="preserve">12,4 / </w:t>
            </w:r>
          </w:p>
          <w:p w14:paraId="2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12,9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нервной системы</w:t>
            </w:r>
          </w:p>
          <w:p w14:paraId="2F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10,9 /</w:t>
            </w:r>
          </w:p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11,2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10,8 /</w:t>
            </w:r>
          </w:p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11,1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10,2 / </w:t>
            </w:r>
          </w:p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10,6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глаза и придаточного аппарата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29,1 /</w:t>
            </w:r>
          </w:p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30,0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27,4 /</w:t>
            </w:r>
          </w:p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28,4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26,1 /</w:t>
            </w:r>
          </w:p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27,2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уха и сосцевидного отростка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29,8 /</w:t>
            </w:r>
          </w:p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30,7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29,1 /</w:t>
            </w:r>
          </w:p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30,1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25,0 /</w:t>
            </w:r>
          </w:p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26,0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системы кровообращения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31,0 /</w:t>
            </w:r>
          </w:p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31,9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32,3 /</w:t>
            </w:r>
          </w:p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33,5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30,5 /</w:t>
            </w:r>
          </w:p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31,7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органов дыхания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323,9 /</w:t>
            </w:r>
          </w:p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333,3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316,1 /</w:t>
            </w:r>
          </w:p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327,1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316,3 /</w:t>
            </w:r>
          </w:p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328,9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органов пищеварения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22,1 /</w:t>
            </w:r>
          </w:p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22,7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21,1 /</w:t>
            </w:r>
          </w:p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21,8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20,5 /</w:t>
            </w:r>
          </w:p>
          <w:p w14:paraId="5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21,3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кожи и подкожной клетчатки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41,0 /</w:t>
            </w:r>
          </w:p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42,2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36,7 /</w:t>
            </w:r>
          </w:p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38,0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38,7 /</w:t>
            </w:r>
          </w:p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40,3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костно-мышечной системы и соединительной ткани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34,6 /</w:t>
            </w:r>
          </w:p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35,6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30,3 /</w:t>
            </w:r>
          </w:p>
          <w:p w14:paraId="6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31,3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29,0 /</w:t>
            </w:r>
          </w:p>
          <w:p w14:paraId="6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30,1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болезни мочеполовой системы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38,6 /</w:t>
            </w:r>
          </w:p>
          <w:p w14:paraId="6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39,8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30,9 /</w:t>
            </w:r>
          </w:p>
          <w:p w14:paraId="6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32,0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27,0 /</w:t>
            </w:r>
          </w:p>
          <w:p w14:paraId="6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28,1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осложнения беременности, родов  и послеродового периода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12,5 /</w:t>
            </w:r>
          </w:p>
          <w:p w14:paraId="7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53,8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9,4 /</w:t>
            </w:r>
          </w:p>
          <w:p w14:paraId="7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41,7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9,1 /</w:t>
            </w:r>
          </w:p>
          <w:p w14:paraId="7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40,1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врожденные аномалии (пороки развития), деформации и хромосомные нарушения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2,9 /</w:t>
            </w:r>
          </w:p>
          <w:p w14:paraId="7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2,9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3,7 /</w:t>
            </w:r>
          </w:p>
          <w:p w14:paraId="7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3,8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2,4 /</w:t>
            </w:r>
          </w:p>
          <w:p w14:paraId="7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c>
          <w:tcPr>
            <w:tcW w:type="dxa" w:w="634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00000">
            <w:pPr>
              <w:spacing w:after="0" w:line="240" w:lineRule="auto"/>
              <w:ind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травмы, отравления и некоторые другие последствия воздействия внешних причин</w:t>
            </w:r>
          </w:p>
        </w:tc>
        <w:tc>
          <w:tcPr>
            <w:tcW w:type="dxa" w:w="9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89,4 /</w:t>
            </w:r>
          </w:p>
          <w:p w14:paraId="7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92,0</w:t>
            </w:r>
          </w:p>
        </w:tc>
        <w:tc>
          <w:tcPr>
            <w:tcW w:type="dxa" w:w="9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78,8 /</w:t>
            </w:r>
          </w:p>
          <w:p w14:paraId="8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81,6</w:t>
            </w:r>
          </w:p>
        </w:tc>
        <w:tc>
          <w:tcPr>
            <w:tcW w:type="dxa" w:w="107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71,7 /</w:t>
            </w:r>
          </w:p>
          <w:p w14:paraId="8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74,5</w:t>
            </w:r>
          </w:p>
        </w:tc>
      </w:tr>
    </w:tbl>
    <w:p w14:paraId="83000000">
      <w:pPr>
        <w:pStyle w:val="Style_2"/>
        <w:spacing w:after="0" w:before="0" w:line="360" w:lineRule="auto"/>
        <w:ind w:firstLine="720" w:left="0"/>
        <w:jc w:val="both"/>
        <w:rPr>
          <w:b w:val="0"/>
          <w:sz w:val="28"/>
        </w:rPr>
      </w:pPr>
      <w:r>
        <w:rPr>
          <w:b w:val="0"/>
          <w:sz w:val="28"/>
          <w:highlight w:val="white"/>
        </w:rPr>
        <w:t xml:space="preserve">Стоит особо отметить, что Администрация Смоленской области приняла постановление </w:t>
      </w:r>
      <w:r>
        <w:rPr>
          <w:b w:val="0"/>
          <w:sz w:val="28"/>
        </w:rPr>
        <w:t>(</w:t>
      </w:r>
      <w:r>
        <w:rPr>
          <w:b w:val="0"/>
          <w:sz w:val="28"/>
          <w:highlight w:val="white"/>
        </w:rPr>
        <w:t>№ 983</w:t>
      </w:r>
      <w:r>
        <w:rPr>
          <w:b w:val="0"/>
          <w:sz w:val="28"/>
          <w:highlight w:val="white"/>
        </w:rPr>
        <w:t xml:space="preserve"> от </w:t>
      </w:r>
      <w:r>
        <w:rPr>
          <w:b w:val="0"/>
          <w:color w:val="3C3C3C"/>
          <w:sz w:val="28"/>
          <w:highlight w:val="white"/>
        </w:rPr>
        <w:t>29.11.</w:t>
      </w:r>
      <w:r>
        <w:rPr>
          <w:b w:val="0"/>
          <w:sz w:val="28"/>
          <w:highlight w:val="white"/>
        </w:rPr>
        <w:t>13</w:t>
      </w:r>
      <w:r>
        <w:rPr>
          <w:b w:val="0"/>
          <w:sz w:val="28"/>
          <w:highlight w:val="white"/>
        </w:rPr>
        <w:t>г.) «О</w:t>
      </w:r>
      <w:r>
        <w:rPr>
          <w:b w:val="0"/>
          <w:sz w:val="28"/>
          <w:highlight w:val="white"/>
        </w:rPr>
        <w:t xml:space="preserve">б утверждении областной Государственной программы </w:t>
      </w:r>
      <w:r>
        <w:rPr>
          <w:b w:val="0"/>
          <w:sz w:val="28"/>
        </w:rPr>
        <w:t>«Р</w:t>
      </w:r>
      <w:r>
        <w:rPr>
          <w:b w:val="0"/>
          <w:sz w:val="28"/>
        </w:rPr>
        <w:t xml:space="preserve">азвитие здравоохранения в </w:t>
      </w:r>
      <w:r>
        <w:rPr>
          <w:b w:val="0"/>
          <w:sz w:val="28"/>
        </w:rPr>
        <w:t>С</w:t>
      </w:r>
      <w:r>
        <w:rPr>
          <w:b w:val="0"/>
          <w:sz w:val="28"/>
        </w:rPr>
        <w:t xml:space="preserve">моленской </w:t>
      </w:r>
      <w:r>
        <w:rPr>
          <w:b w:val="0"/>
          <w:sz w:val="28"/>
        </w:rPr>
        <w:t>области" на 2014 - 2020 годы, в которую среди прочих вошли</w:t>
      </w:r>
      <w:r>
        <w:rPr>
          <w:b w:val="0"/>
          <w:sz w:val="28"/>
          <w:highlight w:val="white"/>
        </w:rPr>
        <w:t xml:space="preserve"> подпрограммы "Профилактика заболеваний и формирование здорового образа жизни. Развитие первичной медико-санитарной помощи";</w:t>
      </w:r>
      <w:r>
        <w:rPr>
          <w:b w:val="0"/>
          <w:color w:val="3C3C3C"/>
          <w:sz w:val="28"/>
          <w:highlight w:val="white"/>
        </w:rPr>
        <w:t xml:space="preserve"> и </w:t>
      </w:r>
      <w:r>
        <w:rPr>
          <w:b w:val="0"/>
          <w:sz w:val="28"/>
        </w:rPr>
        <w:t xml:space="preserve">"Развитие системы медицинской профилактики неинфекционных заболеваний и формирования здорового образа жизни, в том числе у детей. Профилактика развития зависимостей, включая сокращение потребления табака, алкоголя, наркотических средств и </w:t>
      </w:r>
      <w:r>
        <w:rPr>
          <w:b w:val="0"/>
          <w:sz w:val="28"/>
        </w:rPr>
        <w:t>психоактивных</w:t>
      </w:r>
      <w:r>
        <w:rPr>
          <w:b w:val="0"/>
          <w:sz w:val="28"/>
        </w:rPr>
        <w:t xml:space="preserve"> веществ, в том числе у детей</w:t>
      </w:r>
      <w:r>
        <w:rPr>
          <w:b w:val="0"/>
          <w:sz w:val="28"/>
        </w:rPr>
        <w:t>»</w:t>
      </w:r>
      <w:r>
        <w:rPr>
          <w:b w:val="0"/>
          <w:sz w:val="28"/>
        </w:rPr>
        <w:t xml:space="preserve">. </w:t>
      </w:r>
    </w:p>
    <w:p w14:paraId="84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В рамках указанных подпрограмм планируется реализация комплекса мер по формирование у населения ответственного отношения к своему здоровью и изменение моделей поведения направлены на профилактику заболеваний. Основными задачами предотвращения распространения инфекционных заболеваний являются иммунопрофилактика, информирование и обучение различных групп населения средствам и методам профилактики инфекционных заболеваний, повышению ответственности за свое здоровье. Данная </w:t>
      </w:r>
      <w:r>
        <w:rPr>
          <w:rFonts w:ascii="Times New Roman" w:hAnsi="Times New Roman"/>
          <w:sz w:val="28"/>
          <w:highlight w:val="white"/>
        </w:rPr>
        <w:t xml:space="preserve">работа </w:t>
      </w:r>
      <w:r>
        <w:rPr>
          <w:rFonts w:ascii="Times New Roman" w:hAnsi="Times New Roman"/>
          <w:sz w:val="28"/>
          <w:highlight w:val="white"/>
        </w:rPr>
        <w:t xml:space="preserve">предусматривает совершенствование системы мер по снижению количества лиц, зараженных инфекционными заболеваниями, включая: реализацию национального календаря профилактических прививок; профилактику ВИЧ, вирусных гепатитов B и C. </w:t>
      </w:r>
    </w:p>
    <w:p w14:paraId="85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Одними из наиболее важных задач в рамках развития медицинской профилактики и диспансеризации населения являются задачи по выявлению злокачественных новообразований на I - II стадиях заболевания, а также организации дифференцированных </w:t>
      </w:r>
      <w:r>
        <w:rPr>
          <w:rFonts w:ascii="Times New Roman" w:hAnsi="Times New Roman"/>
          <w:sz w:val="28"/>
          <w:highlight w:val="white"/>
        </w:rPr>
        <w:t>скрининговых</w:t>
      </w:r>
      <w:r>
        <w:rPr>
          <w:rFonts w:ascii="Times New Roman" w:hAnsi="Times New Roman"/>
          <w:sz w:val="28"/>
          <w:highlight w:val="white"/>
        </w:rPr>
        <w:t xml:space="preserve"> исследований в Смоленской области в зависимости от уровня распространенности туберкулеза</w:t>
      </w:r>
      <w:r>
        <w:rPr>
          <w:rFonts w:ascii="Times New Roman" w:hAnsi="Times New Roman"/>
          <w:sz w:val="28"/>
          <w:highlight w:val="white"/>
        </w:rPr>
        <w:t>, поскольку</w:t>
      </w:r>
      <w:r>
        <w:rPr>
          <w:rFonts w:ascii="Times New Roman" w:hAnsi="Times New Roman"/>
          <w:sz w:val="28"/>
          <w:highlight w:val="white"/>
        </w:rPr>
        <w:t xml:space="preserve"> Смоленская область входит в число регионов Центрального федерального округа с наибольшей распространенностью туберкулезной инфекции</w:t>
      </w:r>
      <w:r>
        <w:rPr>
          <w:rFonts w:ascii="Times New Roman" w:hAnsi="Times New Roman"/>
          <w:sz w:val="28"/>
          <w:highlight w:val="white"/>
        </w:rPr>
        <w:t>.</w:t>
      </w:r>
      <w:r>
        <w:rPr>
          <w:rFonts w:ascii="Times New Roman" w:hAnsi="Times New Roman"/>
          <w:sz w:val="28"/>
          <w:highlight w:val="white"/>
        </w:rPr>
        <w:t xml:space="preserve"> </w:t>
      </w:r>
    </w:p>
    <w:p w14:paraId="86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В рамках реализации мероприятий по профилактике развития зависимостей, включая сокращение потребления табака, алкоголя, наркотических средств и </w:t>
      </w:r>
      <w:r>
        <w:rPr>
          <w:rFonts w:ascii="Times New Roman" w:hAnsi="Times New Roman"/>
          <w:sz w:val="28"/>
          <w:highlight w:val="white"/>
        </w:rPr>
        <w:t>психоактивны</w:t>
      </w:r>
      <w:r>
        <w:rPr>
          <w:rFonts w:ascii="Times New Roman" w:hAnsi="Times New Roman"/>
          <w:sz w:val="28"/>
          <w:highlight w:val="white"/>
        </w:rPr>
        <w:t>х</w:t>
      </w:r>
      <w:r>
        <w:rPr>
          <w:rFonts w:ascii="Times New Roman" w:hAnsi="Times New Roman"/>
          <w:sz w:val="28"/>
          <w:highlight w:val="white"/>
        </w:rPr>
        <w:t xml:space="preserve"> веществ, в том числе у детей </w:t>
      </w:r>
      <w:r>
        <w:rPr>
          <w:rFonts w:ascii="Times New Roman" w:hAnsi="Times New Roman"/>
          <w:sz w:val="28"/>
          <w:highlight w:val="white"/>
        </w:rPr>
        <w:t xml:space="preserve">планируется выполнение следующих мероприятий: - информирование населения о негативном влиянии на здоровье алкоголизма, </w:t>
      </w:r>
      <w:r>
        <w:rPr>
          <w:rFonts w:ascii="Times New Roman" w:hAnsi="Times New Roman"/>
          <w:sz w:val="28"/>
          <w:highlight w:val="white"/>
        </w:rPr>
        <w:t>табакокурения</w:t>
      </w:r>
      <w:r>
        <w:rPr>
          <w:rFonts w:ascii="Times New Roman" w:hAnsi="Times New Roman"/>
          <w:sz w:val="28"/>
          <w:highlight w:val="white"/>
        </w:rPr>
        <w:t xml:space="preserve"> и наркомании, о пользе физической активности и принципах правильного питания, о причинах депрессии и о способах преодоления депрессивных состояний, в том числе размещение материалов</w:t>
      </w:r>
      <w:r>
        <w:rPr>
          <w:rFonts w:ascii="Times New Roman" w:hAnsi="Times New Roman"/>
          <w:sz w:val="28"/>
          <w:highlight w:val="white"/>
        </w:rPr>
        <w:t xml:space="preserve"> в тел</w:t>
      </w:r>
      <w:r>
        <w:rPr>
          <w:rFonts w:ascii="Times New Roman" w:hAnsi="Times New Roman"/>
          <w:sz w:val="28"/>
          <w:highlight w:val="white"/>
        </w:rPr>
        <w:t>е-</w:t>
      </w:r>
      <w:r>
        <w:rPr>
          <w:rFonts w:ascii="Times New Roman" w:hAnsi="Times New Roman"/>
          <w:sz w:val="28"/>
          <w:highlight w:val="white"/>
        </w:rPr>
        <w:t xml:space="preserve"> и радиоэфире, подготовка волонтеров, проведение обучающих семинаров-тренингов по вопросам ведения здорового образа жизни; - приобретение медицинского оборудования для оснащения центров здоровья, приобретение программного обеспечения, аппаратное и техническое обеспечение информационных систем. </w:t>
      </w:r>
    </w:p>
    <w:p w14:paraId="87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Как считают разработчики данной государственной программы</w:t>
      </w:r>
      <w:r>
        <w:rPr>
          <w:rFonts w:ascii="Times New Roman" w:hAnsi="Times New Roman"/>
          <w:sz w:val="28"/>
          <w:highlight w:val="white"/>
        </w:rPr>
        <w:t>,</w:t>
      </w:r>
      <w:r>
        <w:rPr>
          <w:rFonts w:ascii="Times New Roman" w:hAnsi="Times New Roman"/>
          <w:sz w:val="28"/>
          <w:highlight w:val="white"/>
        </w:rPr>
        <w:t xml:space="preserve"> реализация всех указанных в проекте мероприятий позволит достичь следующих показателей: </w:t>
      </w:r>
    </w:p>
    <w:p w14:paraId="88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- </w:t>
      </w:r>
      <w:r>
        <w:rPr>
          <w:rFonts w:ascii="Times New Roman" w:hAnsi="Times New Roman"/>
          <w:sz w:val="28"/>
          <w:highlight w:val="white"/>
        </w:rPr>
        <w:t xml:space="preserve">доля больных алкоголизмом, повторно госпитализированных в течение года (процентов): - 2014 год - 25,4; - 2015 год - 25,1; - 2016 год - 24,7; - 2017 год - 24,6; - 2018 год - 24,5; - 2019 год - 24,4; - 2020 год - 24,3; </w:t>
      </w:r>
    </w:p>
    <w:p w14:paraId="89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- доля больных наркоманией, повторно госпитализированных в течение года (процентов): - 2014 год - 18,5; - 2015 год - 17,5; - 2016 год - 16,5; - 2017 год - 16,3; - 2018 год - 16,2; - 2019 год - 16,1; - 2020 год - 16; </w:t>
      </w:r>
    </w:p>
    <w:p w14:paraId="8A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 xml:space="preserve">- </w:t>
      </w:r>
      <w:r>
        <w:rPr>
          <w:rFonts w:ascii="Times New Roman" w:hAnsi="Times New Roman"/>
          <w:sz w:val="28"/>
          <w:highlight w:val="white"/>
        </w:rPr>
        <w:t>смертность от самоубийств (случаев): - 2014 год - 19,9; - 2015 год - 19,2; - 2016 год - 18,6; - 2017 год - 18,5; - 2018 год - 18,4; - 2019 год - 18,3; - 2020 год - 18,1.</w:t>
      </w:r>
    </w:p>
    <w:p w14:paraId="8B000000">
      <w:pPr>
        <w:spacing w:after="0" w:line="360" w:lineRule="auto"/>
        <w:ind w:firstLine="720" w:left="0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Таким образом, следует заключить, что проблема борьбы с социально значимыми заболеваниями в Смоленском регионе находит свое решение на государственном уровне. В целом, ожидаемы</w:t>
      </w:r>
      <w:r>
        <w:rPr>
          <w:rFonts w:ascii="Times New Roman" w:hAnsi="Times New Roman"/>
          <w:sz w:val="28"/>
          <w:highlight w:val="white"/>
        </w:rPr>
        <w:t>е</w:t>
      </w:r>
      <w:r>
        <w:rPr>
          <w:rFonts w:ascii="Times New Roman" w:hAnsi="Times New Roman"/>
          <w:sz w:val="28"/>
          <w:highlight w:val="white"/>
        </w:rPr>
        <w:t xml:space="preserve"> результаты по реализации государственной программы по р</w:t>
      </w:r>
      <w:r>
        <w:rPr>
          <w:rFonts w:ascii="Times New Roman" w:hAnsi="Times New Roman"/>
          <w:sz w:val="28"/>
        </w:rPr>
        <w:t>азвитию здравоохранения в Смоленской области к  2020 году позволят увеличить продолжительность жизни в регионе до 71,2 года, приведут к снижению смертности до 11,6 случаев на 1000 населения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spacing w:after="200" w:line="276" w:lineRule="auto"/>
      <w:ind/>
    </w:pPr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3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3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3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2" w:type="paragraph">
    <w:name w:val="heading 1"/>
    <w:basedOn w:val="Style_3"/>
    <w:link w:val="Style_2_ch"/>
    <w:uiPriority w:val="9"/>
    <w:qFormat/>
    <w:pPr>
      <w:spacing w:afterAutospacing="on" w:beforeAutospacing="on" w:line="240" w:lineRule="auto"/>
      <w:ind/>
      <w:outlineLvl w:val="0"/>
    </w:pPr>
    <w:rPr>
      <w:rFonts w:ascii="Times New Roman" w:hAnsi="Times New Roman"/>
      <w:b w:val="1"/>
      <w:sz w:val="48"/>
    </w:rPr>
  </w:style>
  <w:style w:styleId="Style_2_ch" w:type="character">
    <w:name w:val="heading 1"/>
    <w:basedOn w:val="Style_3_ch"/>
    <w:link w:val="Style_2"/>
    <w:rPr>
      <w:rFonts w:ascii="Times New Roman" w:hAnsi="Times New Roman"/>
      <w:b w:val="1"/>
      <w:sz w:val="48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3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0"/>
    </w:rPr>
  </w:style>
  <w:style w:styleId="Style_14_ch" w:type="character">
    <w:name w:val="Header and Footer"/>
    <w:link w:val="Style_14"/>
    <w:rPr>
      <w:rFonts w:ascii="XO Thames" w:hAnsi="XO Thames"/>
      <w:sz w:val="20"/>
    </w:rPr>
  </w:style>
  <w:style w:styleId="Style_15" w:type="paragraph">
    <w:name w:val="Default Paragraph Font"/>
    <w:link w:val="Style_15_ch"/>
  </w:style>
  <w:style w:styleId="Style_15_ch" w:type="character">
    <w:name w:val="Default Paragraph Font"/>
    <w:link w:val="Style_15"/>
  </w:style>
  <w:style w:styleId="Style_16" w:type="paragraph">
    <w:name w:val="toc 9"/>
    <w:next w:val="Style_3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3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3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3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3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3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3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2025-05-12T11:53:18Z</dcterms:modified>
</cp:coreProperties>
</file>