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043" w:rsidRPr="00856043" w:rsidRDefault="00856043" w:rsidP="00856043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043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формирования и исполнения федерального бюджета Российской Федерации</w:t>
      </w:r>
    </w:p>
    <w:p w:rsidR="00856043" w:rsidRPr="00856043" w:rsidRDefault="00856043" w:rsidP="00A05F30">
      <w:pPr>
        <w:keepNext/>
        <w:keepLines/>
        <w:spacing w:after="0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198148464"/>
      <w:r w:rsidRPr="00856043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доходной и расходной частей федерального бюджета</w:t>
      </w:r>
      <w:bookmarkEnd w:id="0"/>
    </w:p>
    <w:p w:rsidR="00856043" w:rsidRPr="00856043" w:rsidRDefault="00856043" w:rsidP="008560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56043" w:rsidRPr="00856043" w:rsidRDefault="00856043" w:rsidP="008560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56043" w:rsidRPr="00856043" w:rsidRDefault="00856043" w:rsidP="008560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56043" w:rsidRPr="00856043" w:rsidRDefault="00A05F30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856043" w:rsidRPr="00856043">
        <w:rPr>
          <w:rFonts w:ascii="Times New Roman" w:eastAsia="Calibri" w:hAnsi="Times New Roman" w:cs="Times New Roman"/>
          <w:sz w:val="28"/>
          <w:szCs w:val="28"/>
        </w:rPr>
        <w:t xml:space="preserve">едеральный бюджет является основным инструментом реализации экономической политики государства, отражая её приоритеты, и стратегические цели. Анализ структуры и динамики доходной и расходной частей федеральных бюджетов 2021 – 2023 годов позволяет оценить, как менялись доходные и расходные статьи под воздействием внешних и внутренних факторов, таких, как изменения в мировой экономике, </w:t>
      </w:r>
      <w:proofErr w:type="spellStart"/>
      <w:r w:rsidR="00856043" w:rsidRPr="00856043">
        <w:rPr>
          <w:rFonts w:ascii="Times New Roman" w:eastAsia="Calibri" w:hAnsi="Times New Roman" w:cs="Times New Roman"/>
          <w:sz w:val="28"/>
          <w:szCs w:val="28"/>
        </w:rPr>
        <w:t>санкционное</w:t>
      </w:r>
      <w:proofErr w:type="spellEnd"/>
      <w:r w:rsidR="00856043" w:rsidRPr="00856043">
        <w:rPr>
          <w:rFonts w:ascii="Times New Roman" w:eastAsia="Calibri" w:hAnsi="Times New Roman" w:cs="Times New Roman"/>
          <w:sz w:val="28"/>
          <w:szCs w:val="28"/>
        </w:rPr>
        <w:t xml:space="preserve"> давление, военно-политические и территориальные конфликты и меры поддержки национальной экономики. </w:t>
      </w:r>
    </w:p>
    <w:p w:rsidR="00856043" w:rsidRPr="00856043" w:rsidRDefault="00A05F30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56043" w:rsidRPr="00856043">
        <w:rPr>
          <w:rFonts w:ascii="Times New Roman" w:eastAsia="Calibri" w:hAnsi="Times New Roman" w:cs="Times New Roman"/>
          <w:sz w:val="28"/>
          <w:szCs w:val="28"/>
        </w:rPr>
        <w:t>ассмотр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 w:rsidR="00856043" w:rsidRPr="00856043">
        <w:rPr>
          <w:rFonts w:ascii="Times New Roman" w:eastAsia="Calibri" w:hAnsi="Times New Roman" w:cs="Times New Roman"/>
          <w:sz w:val="28"/>
          <w:szCs w:val="28"/>
        </w:rPr>
        <w:t xml:space="preserve"> ключевые показатели доходов и расходов федерального бюджета, включая объемы доходов и расходов. Особое внимание будет уделено анализу структуры и динамики доходов с расходами.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Структура доходов тесно связана с состоянием экономики, поскольку она демонстрирует источники формирования бюджетных средств, которые зависят от многих факторов, например, уровня доходов граждан, объемов производства, внешнеэкономической конъюнктуры, и эффективности налоговой системы. В теории упрощенной модели так называемого идеального мира, при рациональности всех составляющих элементов финансово-экономических отношений, рост экономической активности, а также увеличение привлекательности внутреннего рынка страны неизбежно приводит к увеличению поступлений денежных средств в бюджет посредством уплаты компаниями налогов, также, как и при замедлении экономики, наблюдается сокращение налоговых поступлений. 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Для анализа доходов федерального бюджета использовались данные доходов федерального бюджета за 2021 – 2023 годы, так как за эти года присутствует завершенная финансовая статистика, отражающая завершённые операции и позволяющая оценить фактические поступления. При детальном </w:t>
      </w:r>
      <w:r w:rsidRPr="00856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анализе расходов использовались плановые значения, так как в открытом доступе имеются фактические показатели расходов по статьям затрат до 2021 года, последующие года, публикуется только общая информация. Все следующие данные за 2024 год представлены в виде предварительных значений, а данные 2025-2027 годов, носят плановый характер. Подобная неоднородность периодов обусловлена тем, что расходы формируются на основе долгосрочных прогнозов и приоритетов экономической политики.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Также, перед рассмотрением аналитических данных, стоит обратить внимание на то, что данные доходов в общей своей совокупности используются для эффективности использования налоговой политики в стране, а также для последующего анализа факторов, влияющих на бюджетные поступления.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Для анализа структуры доходов и расходов была составлена диаграмма, </w:t>
      </w:r>
      <w:r w:rsidRPr="00856043">
        <w:rPr>
          <w:rFonts w:ascii="Times New Roman" w:eastAsia="Calibri" w:hAnsi="Times New Roman" w:cs="Times New Roman"/>
          <w:sz w:val="28"/>
          <w:szCs w:val="28"/>
          <w:lang w:val="az-Cyrl-AZ"/>
        </w:rPr>
        <w:t>демонстрирующая</w:t>
      </w: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соотношения доходов и расходов федерального бюджета за 2021 – 2023 годы:</w:t>
      </w:r>
    </w:p>
    <w:p w:rsidR="00856043" w:rsidRPr="00856043" w:rsidRDefault="00856043" w:rsidP="0085604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D736A16" wp14:editId="5FB9B89D">
            <wp:extent cx="5962650" cy="2743200"/>
            <wp:effectExtent l="0" t="0" r="0" b="0"/>
            <wp:docPr id="6" name="Диаграмма 6">
              <a:extLst xmlns:a="http://schemas.openxmlformats.org/drawingml/2006/main">
                <a:ext uri="{FF2B5EF4-FFF2-40B4-BE49-F238E27FC236}">
                  <a16:creationId xmlns:a16="http://schemas.microsoft.com/office/drawing/2014/main" id="{263641FF-1DB1-4156-BAF2-76E9A3D2B7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6043" w:rsidRPr="00856043" w:rsidRDefault="00856043" w:rsidP="00856043">
      <w:pPr>
        <w:spacing w:after="24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043">
        <w:rPr>
          <w:rFonts w:ascii="Times New Roman" w:eastAsia="Calibri" w:hAnsi="Times New Roman" w:cs="Times New Roman"/>
          <w:sz w:val="24"/>
          <w:szCs w:val="24"/>
        </w:rPr>
        <w:tab/>
        <w:t>Рисунок 4 – Динамика доходов и расходов федерального бюджета за 2021 – 2023 годы, млрд. р.</w:t>
      </w:r>
    </w:p>
    <w:p w:rsidR="00856043" w:rsidRPr="00856043" w:rsidRDefault="00856043" w:rsidP="008560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1.1 – Динамика структуры доходов и расходов Федерального бюджета за 2021 -2023 годы в млрд. р.</w:t>
      </w:r>
    </w:p>
    <w:tbl>
      <w:tblPr>
        <w:tblW w:w="9522" w:type="dxa"/>
        <w:tblInd w:w="-147" w:type="dxa"/>
        <w:tblLook w:val="04A0" w:firstRow="1" w:lastRow="0" w:firstColumn="1" w:lastColumn="0" w:noHBand="0" w:noVBand="1"/>
      </w:tblPr>
      <w:tblGrid>
        <w:gridCol w:w="1014"/>
        <w:gridCol w:w="1187"/>
        <w:gridCol w:w="1270"/>
        <w:gridCol w:w="1242"/>
        <w:gridCol w:w="1391"/>
        <w:gridCol w:w="1073"/>
        <w:gridCol w:w="1391"/>
        <w:gridCol w:w="1077"/>
      </w:tblGrid>
      <w:tr w:rsidR="00856043" w:rsidRPr="00856043" w:rsidTr="00C55DFD">
        <w:trPr>
          <w:trHeight w:val="19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2022 г.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2023 г.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Абсолютное отклонение   2022 г. от 2021 г.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Темп прироста   2022 г. к 2021 г.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Абсолютное отклонение   2023 г. от 2022 г.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Темп прироста   2023 г. к 2022 г. </w:t>
            </w:r>
          </w:p>
        </w:tc>
      </w:tr>
      <w:tr w:rsidR="00856043" w:rsidRPr="00856043" w:rsidTr="00C55DFD">
        <w:trPr>
          <w:trHeight w:val="12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Доходы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25 286,38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27 824,39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29 124,03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2 538,01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10,04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1 299,64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4,67</w:t>
            </w:r>
          </w:p>
        </w:tc>
      </w:tr>
      <w:tr w:rsidR="00856043" w:rsidRPr="00856043" w:rsidTr="00C55DFD">
        <w:trPr>
          <w:trHeight w:val="3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24 762,10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31 118,91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32 353,84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6 356,81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25,67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1 234,93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3,97</w:t>
            </w:r>
          </w:p>
        </w:tc>
      </w:tr>
    </w:tbl>
    <w:p w:rsidR="00856043" w:rsidRPr="00856043" w:rsidRDefault="00856043" w:rsidP="0085604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Данные таблицы 1.1 и рисунка 4 составленных на основании таблиц 1 и 2 из (приложения 1 и приложения 2), представляющих сумму доходов и расходов –  демонстрируют, что за все три сопоставляемых года наблюдается профицит средств федерального бюджета. Федеральный бюджет за каждый год приносил доходов в среднем на 2 миллиарда рублей больше, чем в прошлом. Доходы федерального бюджета от 2021 года к 2022 году увеличились на 10,04%, или на 2 538,01 миллиард рублей, также и расходы выросли на 6 356,81</w:t>
      </w: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рублей, или на 25,67% в процентном выражении к прошлому году, а профицит федерального бюджета в размере 524,28 млрд. р. в 2021 году сменился дефицитом в 3 294,52 </w:t>
      </w:r>
      <w:proofErr w:type="spell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</w:t>
      </w:r>
      <w:proofErr w:type="spell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2022 году.  С 2022 года по 2023 год доходы федерального бюджета увеличились на 1 299,64 рублей, или на 4,67 процентов к прошлому году. Расходы также возросли на 1 234,93 или на 3,97% сохранив дефицит бюджета прошлого года на уровне 3 229,81 млрд. р.</w:t>
      </w: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[46].</w:t>
      </w: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таблицы 1.2 и таблицы 1.3 представляющих структуру доходов федерального бюджета, проведем структурный анализ.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43" w:rsidRPr="00856043" w:rsidRDefault="00856043" w:rsidP="0085604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1.2 – Структура доходов федерального бюджета за 2021-2023 годы, %</w:t>
      </w:r>
    </w:p>
    <w:tbl>
      <w:tblPr>
        <w:tblW w:w="9411" w:type="dxa"/>
        <w:tblLook w:val="04A0" w:firstRow="1" w:lastRow="0" w:firstColumn="1" w:lastColumn="0" w:noHBand="0" w:noVBand="1"/>
      </w:tblPr>
      <w:tblGrid>
        <w:gridCol w:w="2837"/>
        <w:gridCol w:w="1229"/>
        <w:gridCol w:w="973"/>
        <w:gridCol w:w="1145"/>
        <w:gridCol w:w="1642"/>
        <w:gridCol w:w="1585"/>
      </w:tblGrid>
      <w:tr w:rsidR="00856043" w:rsidRPr="00856043" w:rsidTr="00C55DFD">
        <w:trPr>
          <w:trHeight w:val="8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2022 г.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2023 г. 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Темп прироста 2022г. к 2021г. %.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Темп прироста 2023г. к 2022г. %.</w:t>
            </w:r>
          </w:p>
        </w:tc>
      </w:tr>
      <w:tr w:rsidR="00856043" w:rsidRPr="00856043" w:rsidTr="00C55DFD">
        <w:trPr>
          <w:trHeight w:val="528"/>
        </w:trPr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75,58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79,23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80,54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1,65</w:t>
            </w:r>
          </w:p>
        </w:tc>
      </w:tr>
      <w:tr w:rsidR="00856043" w:rsidRPr="00856043" w:rsidTr="00C55DFD">
        <w:trPr>
          <w:trHeight w:val="421"/>
        </w:trPr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Неналоговые доходы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23,23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20,49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17,94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-11,79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-12,47</w:t>
            </w:r>
          </w:p>
        </w:tc>
      </w:tr>
      <w:tr w:rsidR="00856043" w:rsidRPr="00856043" w:rsidTr="00C55DFD">
        <w:trPr>
          <w:trHeight w:val="310"/>
        </w:trPr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1,19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-76,54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448,14</w:t>
            </w:r>
          </w:p>
        </w:tc>
      </w:tr>
      <w:tr w:rsidR="00856043" w:rsidRPr="00856043" w:rsidTr="00C55DFD">
        <w:trPr>
          <w:trHeight w:val="321"/>
        </w:trPr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Итого доходов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856043" w:rsidRPr="00856043" w:rsidRDefault="00856043" w:rsidP="00856043">
      <w:pPr>
        <w:spacing w:before="240"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1.3 – Структура доходов федерального бюджета за 2021 – 2023 годы, млрд. р.</w:t>
      </w:r>
    </w:p>
    <w:tbl>
      <w:tblPr>
        <w:tblW w:w="9401" w:type="dxa"/>
        <w:tblLook w:val="04A0" w:firstRow="1" w:lastRow="0" w:firstColumn="1" w:lastColumn="0" w:noHBand="0" w:noVBand="1"/>
      </w:tblPr>
      <w:tblGrid>
        <w:gridCol w:w="2405"/>
        <w:gridCol w:w="1134"/>
        <w:gridCol w:w="1418"/>
        <w:gridCol w:w="1221"/>
        <w:gridCol w:w="1640"/>
        <w:gridCol w:w="1583"/>
      </w:tblGrid>
      <w:tr w:rsidR="00856043" w:rsidRPr="00856043" w:rsidTr="00C55DFD">
        <w:trPr>
          <w:trHeight w:val="96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2022 г. 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2023 г.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Абсолютное отклонение 2022 от 2021г.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Абсолютное отклонение 2023 от 2022г.</w:t>
            </w:r>
          </w:p>
        </w:tc>
      </w:tr>
      <w:tr w:rsidR="00856043" w:rsidRPr="00856043" w:rsidTr="00C55DFD">
        <w:trPr>
          <w:trHeight w:val="3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19 111,62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22 044,80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23 455,63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2 933,18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1 410,83</w:t>
            </w:r>
          </w:p>
        </w:tc>
      </w:tr>
      <w:tr w:rsidR="00856043" w:rsidRPr="00856043" w:rsidTr="00C55DFD">
        <w:trPr>
          <w:trHeight w:val="443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Неналоговые доходы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5 874,80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5 702,17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5 224,21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-172,63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- 477,96</w:t>
            </w:r>
          </w:p>
        </w:tc>
      </w:tr>
      <w:tr w:rsidR="00856043" w:rsidRPr="00856043" w:rsidTr="00C55DFD">
        <w:trPr>
          <w:trHeight w:val="60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299,96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444,19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-222,54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366,77</w:t>
            </w:r>
          </w:p>
        </w:tc>
      </w:tr>
      <w:tr w:rsidR="00856043" w:rsidRPr="00856043" w:rsidTr="00C55DFD">
        <w:trPr>
          <w:trHeight w:val="5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25 286,38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27 824,39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29 124,03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2 538,01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lang w:eastAsia="ru-RU"/>
              </w:rPr>
              <w:t>1 299,64</w:t>
            </w:r>
          </w:p>
        </w:tc>
      </w:tr>
    </w:tbl>
    <w:p w:rsidR="00856043" w:rsidRPr="00856043" w:rsidRDefault="00856043" w:rsidP="00856043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На основании таблицы, представленной выше, можно сделать вывод, что на протяжении 3 лет налоговые доходы, в которые включаются такие статьи, как: 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налоги на прибыль</w:t>
      </w:r>
      <w:r w:rsidRPr="00856043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на совокупный доход;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налоги на имущество;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государственные пошлины;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налоги, сборы и регулярные платежи за пользование природными ресурсами;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налоги на товары, ввозимые на территорию РФ;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являлись основным источником доходов федерального бюджета, увеличивая удельный вес в объёме поступлений каждый код. Так, в 2021 году, удельный вес налоговых поступлений составлял 75,58% или 19 111,62 млрд. р., а к 2022 году возрос на 4,83% до 79,23% что 22 044,80 млрд. р. в </w:t>
      </w:r>
      <w:r w:rsidRPr="00856043">
        <w:rPr>
          <w:rFonts w:ascii="Times New Roman" w:eastAsia="Calibri" w:hAnsi="Times New Roman" w:cs="Times New Roman"/>
          <w:sz w:val="28"/>
          <w:szCs w:val="28"/>
        </w:rPr>
        <w:lastRenderedPageBreak/>
        <w:t>стоимостном выражении, затем, к 2023 году увеличился еще на 1,65% до 80,54% или 22 455,63 млрд. р.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На основании таблицы 1 можно более детально рассмотреть данные по доходам федерального бюджета и понять, что наибольший объем доходов, за рассматриваемый период приносили налоги, сборы и регулярные платежи за пользование природными ресурсами, составляя 32,82%, 45,19% и 37,91% или 8 297,75; 12 573,47; 11 041,77 млрд. р. поступлений в федеральный бюджет в общей совокупности доходов. Кроме того, налоги на товары (работы услуги), реализуемые на территории РФ, составили 20,58; 15,77% и 18,25%, что 3,865,61; 4 387,71; 5 315,75 млрд. р. соответственно. Налоги на товары, ввозимые на территорию РФ, принесли в бюджет 3 865,61; 3 167,24 и 4 596,23 млрд. р., что составляет 15,29%, 11,38%, 15,78%. Три вида этих налогов, уже в общей совокупности составляли в среднем 70% доходных поступлений всего федерального бюджета. 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Неналоговые поступления представлены следующими доходными статьями:</w:t>
      </w:r>
    </w:p>
    <w:p w:rsidR="00856043" w:rsidRPr="00856043" w:rsidRDefault="00856043" w:rsidP="00856043">
      <w:pPr>
        <w:numPr>
          <w:ilvl w:val="0"/>
          <w:numId w:val="1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внешнеэкономической деятельности;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использования имущества, находящегося в государственной и муниципальной собственности;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за пользование природными ресурсами;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от оказания платных услуг и компенсации затрат государства;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продажи материальных и нематериальных активов;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платежи и сборы;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штрафы, санкции, возмещение ущерба;</w:t>
      </w:r>
    </w:p>
    <w:p w:rsidR="00856043" w:rsidRPr="00856043" w:rsidRDefault="00856043" w:rsidP="00856043">
      <w:pPr>
        <w:numPr>
          <w:ilvl w:val="0"/>
          <w:numId w:val="2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неналоговые доходы.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налоговых доходов, неналоговые доходы с каждым годом снижались – демонстрирует таблицы 1,2 и 1,3. Так, в 2021 году, удельный вес неналоговых доходов составлял 23,23% или 5 874,80 млрд. р. в объеме </w:t>
      </w: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доходов, в 2022 году, удельный вес снизился на 11,79%, что в денежном выражении – 172,63 млрд. р., а в 2023 году еще на 12,5%, или 477,96 млрд. р. составив 5 224,21 млрд. р. что на 650,</w:t>
      </w:r>
      <w:proofErr w:type="gram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6  млрд.</w:t>
      </w:r>
      <w:proofErr w:type="gram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или 24,3% меньше, чем в 2021 году.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детальное изучение структуры неналоговых доходов, показывает, что наибольший объем </w:t>
      </w:r>
      <w:proofErr w:type="gram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proofErr w:type="gram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принесли государству доходы от внешнеэкономической деятельности, снижающиеся с каждым годом. Так, в 2021 году, внешнеэкономическая деятельность принесла государству 3 569,91 млрд. р., что составило 14,1% от совокупного дохода государства за 2021 год, в 2022 году, доходы, которые принесла внешнеэкономическая деятельность, снизились на приблизительно на 3%, и составили 3 444,83%, или 12,38%.  К 2023 году, данная статья доходов принесла еще меньше средств в бюджет. Снижение составило 28,78% к прошлому году, что на 991,49 млрд меньше, чем в 2022 году. Второй весомой статьей в разделе неналоговых доходов стали доходы от использования имущества, находящегося в государственной и муниципальной собственности, принося в бюджет в среднем за 3 года по 4,5% доходов в общем выражении или </w:t>
      </w: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976,56; 1 235,39; 1 346,51 соответственно.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Безвозмездные поступления в сумме составили 299,96; 77,42; и 444,19 млрд. р. или в процентном выражении 19%, 0,28% и 1,53% от всех доходов федерального бюджета за 2021 – 2023 годы.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рассматриваемый период, включающий 2021–2024 годы, в открытом доступе отсутствуют фактические данные о распределении расходов федерального бюджета по отдельным статьям. Представлены лишь общие итоговые данные по расходам, а также плановые показатели, утвержденные для рассматриваемого периода 2021 – 2023 годов, текущего и последующих годов. Несмотря на это, использование плановых данных остается важным инструментом для анализа, поскольку они демонстрируют стратегические приоритеты государственной политики, заложенные в бюджетном процессе. Эти показатели позволяют выявить приоритетные направления </w:t>
      </w: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финансирования, оценить акценты в перераспределении бюджетных ресурсов, что является основными задачами данной дипломной работы </w:t>
      </w:r>
      <w:r w:rsidRPr="00856043">
        <w:rPr>
          <w:rFonts w:ascii="Times New Roman" w:eastAsia="Calibri" w:hAnsi="Times New Roman" w:cs="Times New Roman"/>
          <w:sz w:val="28"/>
          <w:szCs w:val="28"/>
        </w:rPr>
        <w:t>[47]</w:t>
      </w: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отметить, что плановые показатели расходов федерального бюджета отличаются от фактических значений исполнения федерального бюджета. Различия могут быть вызваны изменениями в макроэкономической ситуации, пересмотром приоритетов государственной политики или корректировками, связанными с необходимостью реагировать на внутренние и внешние вызовы. Тем не менее, даже с учетом этих особенностей, плановые данные остаются важным индикатором, позволяющим выявить ключевые тенденции в распределении бюджетных средств.</w:t>
      </w:r>
    </w:p>
    <w:p w:rsidR="00A05F30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несмотря на отсутствие фактических данных о распределении расходов федерального бюджета за анализируемый период, использование плановых показателей является обоснованным и значимым в контексте данной </w:t>
      </w:r>
      <w:r w:rsidR="00A05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</w:t>
      </w: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Плановые данные отражают стратегические приоритеты государственной политики, позволяют оценить предполагаемую динамику финансирования ключевых направлений и служат основой для анализа структуры и распределения бюджетных ресурсов.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составления таблицы 2 брались показатели расходов на каждый финансовый год из закона федерального бюджета на тот же период, так как именно они наиболее приближенны к фактическим показателям, формирующимся в отчете «Об исполнении федерального бюджета» под конец следующего за отчетным финансовым годом.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рассматривая и сопоставляя представленные на рисунке 5 плановые и фактические итоговые значения расходов федерального бюджета можно заметить, что за 2021 год средства федерального бюджета были потрачены в соответствии с законом федерального бюджета, благодаря чему, доходы превысили фактические расходы, как и планировалось на 524,28 млрд. р., что позволило бюджету за 2021 год стать </w:t>
      </w:r>
      <w:proofErr w:type="spell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тным</w:t>
      </w:r>
      <w:proofErr w:type="spell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72EC4B14" wp14:editId="6E093B9E">
            <wp:extent cx="5364441" cy="2977104"/>
            <wp:effectExtent l="0" t="0" r="8255" b="13970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id="{8E08C826-3C53-4499-A21E-30D85877A2B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6043" w:rsidRPr="00856043" w:rsidRDefault="00856043" w:rsidP="00856043">
      <w:pPr>
        <w:spacing w:after="24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043">
        <w:rPr>
          <w:rFonts w:ascii="Times New Roman" w:eastAsia="Calibri" w:hAnsi="Times New Roman" w:cs="Times New Roman"/>
          <w:sz w:val="24"/>
          <w:szCs w:val="24"/>
        </w:rPr>
        <w:t xml:space="preserve">Рисунок 5 – Динамика доходов и фактических </w:t>
      </w:r>
      <w:proofErr w:type="gramStart"/>
      <w:r w:rsidRPr="00856043">
        <w:rPr>
          <w:rFonts w:ascii="Times New Roman" w:eastAsia="Calibri" w:hAnsi="Times New Roman" w:cs="Times New Roman"/>
          <w:sz w:val="24"/>
          <w:szCs w:val="24"/>
        </w:rPr>
        <w:t>с плановыми расходов</w:t>
      </w:r>
      <w:proofErr w:type="gramEnd"/>
      <w:r w:rsidRPr="00856043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за 2021 – 2023 годы, млрд. р.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в 2022 году, государство не смогло уложиться в планируемые показатели расходов, превысив расходы на 3 504,81 </w:t>
      </w:r>
      <w:proofErr w:type="spell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</w:t>
      </w:r>
      <w:proofErr w:type="spell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следствие чего бюджет из планируемого профицита в 210,29 млрд. р. стал дефицитным, отклонив разницу в сторону минуса на 3 294,54 млрд. р. 2023 год также закончился с дефицитом федерального бюджета, вследствие невыполнения плана по расходам, заключающееся в превышении фактическими показателями расходов плановые значения, составляющие 29</w:t>
      </w:r>
      <w:r w:rsidRPr="008560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055,60 </w:t>
      </w:r>
      <w:proofErr w:type="spellStart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</w:t>
      </w:r>
      <w:proofErr w:type="spellEnd"/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3 298,24 млрд .р., что привело к дефициту федерального бюджета в 3 229,81 млрд .р. </w:t>
      </w:r>
      <w:r w:rsidRPr="00856043">
        <w:rPr>
          <w:rFonts w:ascii="Times New Roman" w:eastAsia="Calibri" w:hAnsi="Times New Roman" w:cs="Times New Roman"/>
          <w:sz w:val="28"/>
          <w:szCs w:val="28"/>
        </w:rPr>
        <w:t>[46]</w:t>
      </w:r>
    </w:p>
    <w:p w:rsidR="00856043" w:rsidRPr="00856043" w:rsidRDefault="00856043" w:rsidP="008560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заметить еще раз, что плановые показатели подходят для анализа именно планируемых затрат, а не оперативной ситуации в экономической сфере страны. </w:t>
      </w:r>
    </w:p>
    <w:p w:rsidR="00856043" w:rsidRPr="00856043" w:rsidRDefault="00856043" w:rsidP="0085604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Таблица 2.1 – Структура удельных весов расходов федерального бюджета по разделам функциональной классификации в 2021 – 2027 годах, %.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2942"/>
        <w:gridCol w:w="846"/>
        <w:gridCol w:w="846"/>
        <w:gridCol w:w="846"/>
        <w:gridCol w:w="894"/>
        <w:gridCol w:w="992"/>
        <w:gridCol w:w="851"/>
        <w:gridCol w:w="850"/>
      </w:tblGrid>
      <w:tr w:rsidR="00856043" w:rsidRPr="00856043" w:rsidTr="00C55DFD">
        <w:trPr>
          <w:trHeight w:val="55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г., %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г., % 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г., %  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г., %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 г., %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г., %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г., %   </w:t>
            </w:r>
          </w:p>
        </w:tc>
      </w:tr>
      <w:tr w:rsidR="00856043" w:rsidRPr="00856043" w:rsidTr="00C55DFD">
        <w:trPr>
          <w:trHeight w:val="58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</w:t>
            </w: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политика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856043" w:rsidRPr="00856043" w:rsidTr="00C55DFD">
        <w:trPr>
          <w:trHeight w:val="36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56043" w:rsidRPr="00856043" w:rsidTr="00C55DFD">
        <w:trPr>
          <w:trHeight w:val="57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856043" w:rsidRPr="00856043" w:rsidTr="00C55DFD">
        <w:trPr>
          <w:trHeight w:val="111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856043" w:rsidRPr="00856043" w:rsidTr="00C55DFD">
        <w:trPr>
          <w:trHeight w:val="70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856043" w:rsidRPr="00856043" w:rsidTr="00C55DFD">
        <w:trPr>
          <w:trHeight w:val="469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856043" w:rsidRPr="00856043" w:rsidTr="00C55DFD">
        <w:trPr>
          <w:trHeight w:val="833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856043" w:rsidRPr="00856043" w:rsidTr="00C55DFD">
        <w:trPr>
          <w:trHeight w:val="448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56043" w:rsidRPr="00856043" w:rsidTr="00C55DFD">
        <w:trPr>
          <w:trHeight w:val="833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56043" w:rsidRPr="00856043" w:rsidTr="00C55DFD">
        <w:trPr>
          <w:trHeight w:val="5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856043" w:rsidRPr="00856043" w:rsidTr="00C55DFD">
        <w:trPr>
          <w:trHeight w:val="5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56043" w:rsidRPr="00856043" w:rsidTr="00C55DFD">
        <w:trPr>
          <w:trHeight w:val="5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856043" w:rsidRPr="00856043" w:rsidTr="00C55DFD">
        <w:trPr>
          <w:trHeight w:val="5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56043" w:rsidRPr="00856043" w:rsidTr="00C55DFD">
        <w:trPr>
          <w:trHeight w:val="68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56043" w:rsidRPr="00856043" w:rsidTr="00C55DFD">
        <w:trPr>
          <w:trHeight w:val="409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(план)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43" w:rsidRPr="00856043" w:rsidRDefault="00856043" w:rsidP="0085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856043" w:rsidRPr="00856043" w:rsidRDefault="00856043" w:rsidP="00856043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На основании полученных результатов из таблицы, можно сделать вывод, что планируемые показатели удельных весов выделяемых средств по функциональным статьям</w:t>
      </w:r>
      <w:r w:rsidRPr="00856043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расходов федерального бюджета в общей структуре, в среднем, из года в год оставались на одном уровне, либо снижались, что указывает на то и в первом и во втором случае фактический объем денежных средств, выделяемых на большую часть статей или снижался, или оставался на уровне предыдущих лет. 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>При детальном рассмотрении показателей, приведенных в таблице, можно заметить, что: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Наибольший рост показателя расходов федерального бюджета был зафиксирован по статье «Национальная оборона», увеличиваясь в среднем на 2,5% каждый год со среднем значением в 7 205,5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., где в первый год рассматриваемого периода показатель расходов по данной статье был на уровне 3 573,6 </w:t>
      </w:r>
      <w:proofErr w:type="spellStart"/>
      <w:proofErr w:type="gram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proofErr w:type="gram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или 14,4% от общего объема расходов, пропуская вперед только расходы на социальную политику с 27% расходов. Однако к 2027 году планируется потратить на оборону 13 068,5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>. что составляет 30% от общего объема планируемых расходов и сильно опережает расходы по социальной политике, опустившиеся по сравнению с 2021 годом до 16,6%</w:t>
      </w:r>
      <w:r w:rsidRPr="00856043">
        <w:rPr>
          <w:rFonts w:ascii="Times New Roman" w:eastAsia="Calibri" w:hAnsi="Times New Roman" w:cs="Times New Roman"/>
          <w:sz w:val="28"/>
          <w:szCs w:val="28"/>
          <w:lang w:val="az-Cyrl-AZ"/>
        </w:rPr>
        <w:t xml:space="preserve"> </w:t>
      </w:r>
      <w:r w:rsidRPr="00856043">
        <w:rPr>
          <w:rFonts w:ascii="Times New Roman" w:eastAsia="Calibri" w:hAnsi="Times New Roman" w:cs="Times New Roman"/>
          <w:sz w:val="28"/>
          <w:szCs w:val="28"/>
        </w:rPr>
        <w:t>[4</w:t>
      </w:r>
      <w:r w:rsidRPr="00856043">
        <w:rPr>
          <w:rFonts w:ascii="Times New Roman" w:eastAsia="Calibri" w:hAnsi="Times New Roman" w:cs="Times New Roman"/>
          <w:sz w:val="28"/>
          <w:szCs w:val="28"/>
          <w:lang w:val="az-Cyrl-AZ"/>
        </w:rPr>
        <w:t>8</w:t>
      </w: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].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Плановые значения удельных весов расходов федерального бюджета на социальную политику снижались каждый год в среднем на 1,7%. Так, например, в  2021 году, на социальную политику было потрачено 6 675,8, что составляло 27% от общего планового объема расходов, а к 2027 году планируется снижение показателя удельного веса до 16.6% или номинальное увеличение показателя до 7 249,2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, однако нельзя упускать из внимания тот факт, что плановые объемы всех расходов федерального бюджета на протяжении всего рассматриваемого периода индексировались в среднем на 10,5% к прошлому году, а по статистике Банка России средний показатель годовой инфляции на протяжении 2021 – 2024 годов, был 9,31%, а общие объемы расходов по статьям увеличивались на 1,19%, а значит, увеличение общих объемов затрат почти нивелировалось процентами снижения покупательской способности денежных средств. Это говорит о том, что в случае проектировке плановых данных из таблицы на фактически возможные затраты, из-за инфляции и с каждым годом этот показатель на социальную политику уменьшался, хотя и номинально планировалось увеличение [47].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Расходы на национальную экономику, как и на социальную политику также сокращались. В среднем, сокращение удельного веса в общем объеме расходов было на уровне 1,13% за рассматриваемый период, или при более детальном рассмотрении – в первый год анализа, значение было 4 356,6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в денежном выражении, или 17,6% удельного веса от общей величины </w:t>
      </w:r>
      <w:r w:rsidRPr="00856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расходов бюджета в 2021 году. К 2025 году, данное значение снизилось до 10,5% удельного веса, при этом, оставшись на том же номинальном уровне в денежном выражении совершив некоторые колебания в период 2021 – 2025 годов.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Затраты на здравоохранение снижались с каждым годом. Так, снижение было в среднем на 0,26% к каждому году, где в 2021 год удельный вес затрат по данной статье планировался на уровне 6% или 1 473,9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а к 2027 году произошло изменение до 4,4 % с 1 918,3 </w:t>
      </w:r>
      <w:proofErr w:type="spellStart"/>
      <w:proofErr w:type="gram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proofErr w:type="gram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в стоимостном выражении.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Расходы на образование также снижались, хотя в номинальном денежном выражении был рост. Удельный вес в 2021 году составлял 4,3% от общего объема затрат бюджета, стоимостной показатель был на уровне 1 064,4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., а к 2027 году планируется удельный вес на уровне 4%, что в стоимостном выражении – 1 753,6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На обслуживание государственного и муниципального долга с каждым годом выделялось все больше и больше средств.  В 2021 году показатель структуры был на уровне 4,4% или 1 084,2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а к 2027 году планируется изменение показателя до 8,2% удельного веса и 3 594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Плановые объемы затрат на национальную безопасность и правоохранительную деятельность находились почти не изменялись, находясь на всем протяжении рассматриваемого периода в среднем на уровне 9,9% от общего объема затрат, в денежном выражении, среднее плановое значение было на уровне 3 409,9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Также показатели плановой статьи расходов на общегосударственные вопросы за весь рассматриваемый период находились приблизительно на одном демонстрируя небольшое снижение значений удельного веса на всем протяжении рассматриваемого периода, в среднем на 0,065% к прошлому году. Средний уровень значений удельного веса, был на уровне 7,1% или в среднем денежном выражении значения 2 485,5 </w:t>
      </w:r>
      <w:proofErr w:type="spellStart"/>
      <w:proofErr w:type="gram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proofErr w:type="gramEnd"/>
      <w:r w:rsidRPr="00856043">
        <w:rPr>
          <w:rFonts w:ascii="Times New Roman" w:eastAsia="Calibri" w:hAnsi="Times New Roman" w:cs="Times New Roman"/>
          <w:sz w:val="28"/>
          <w:szCs w:val="28"/>
          <w:lang w:val="az-Cyrl-AZ"/>
        </w:rPr>
        <w:t xml:space="preserve"> </w:t>
      </w:r>
      <w:r w:rsidRPr="00856043">
        <w:rPr>
          <w:rFonts w:ascii="Times New Roman" w:eastAsia="Calibri" w:hAnsi="Times New Roman" w:cs="Times New Roman"/>
          <w:sz w:val="28"/>
          <w:szCs w:val="28"/>
        </w:rPr>
        <w:t>[4</w:t>
      </w:r>
      <w:r w:rsidRPr="00856043">
        <w:rPr>
          <w:rFonts w:ascii="Times New Roman" w:eastAsia="Calibri" w:hAnsi="Times New Roman" w:cs="Times New Roman"/>
          <w:sz w:val="28"/>
          <w:szCs w:val="28"/>
          <w:lang w:val="az-Cyrl-AZ"/>
        </w:rPr>
        <w:t>9</w:t>
      </w:r>
      <w:r w:rsidRPr="00856043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856043" w:rsidRPr="00856043" w:rsidRDefault="00856043" w:rsidP="0085604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Межбюджетные трансферты</w:t>
      </w:r>
      <w:r w:rsidRPr="00856043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2"/>
      </w: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общего характера, также демонстрировали незначительное снижение показателя удельного веса в среднем по 0,216% ежегодно, даже при учете того, что номинальное значение показателя увеличивалось с 1 107,7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в 2021 году до 1 385,3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в 2027 году. 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Похожая ситуация наблюдалась и с статьей затрат на жилищно-коммунальное хозяйство. Весь рассматриваемый период плановые затраты на ЖКХ находятся приблизительно на одном уровне, совершая незначительные колебания удельного веса в пределах 1 – 1,3% к прошлому году, благодаря чему, среднее значение изменения удельного веса в общем объеме расходов являлось 0,088%, </w:t>
      </w:r>
      <w:proofErr w:type="gramStart"/>
      <w:r w:rsidRPr="00856043">
        <w:rPr>
          <w:rFonts w:ascii="Times New Roman" w:eastAsia="Calibri" w:hAnsi="Times New Roman" w:cs="Times New Roman"/>
          <w:sz w:val="28"/>
          <w:szCs w:val="28"/>
        </w:rPr>
        <w:t>а  также</w:t>
      </w:r>
      <w:proofErr w:type="gram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 демонстрировался рост планового номинального объема расходов в денежном выражении с 593,7% в 2021 году к 1 276,2 в 2027 году [44]. </w:t>
      </w:r>
    </w:p>
    <w:p w:rsidR="00856043" w:rsidRPr="00856043" w:rsidRDefault="00856043" w:rsidP="0085604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В добавок к вышеперечисленному удельному весу затрат на охрану окружающей среды, культуру, кинематографию и физическую культуру со спортом был в среднем на одному уровне 0,066%, демонстрируя небольшое увеличение номинальных плановых показателей в денежном выражении на охрану окружающей среды и почти отсутствие изменений по показателям культуры с кинематографией и физической культуры со спортом. Так, изменение плановых значений расходов в денежном выражении на охрану окружающей среды составило от 146,7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в 2021 году до 290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в 2027 году и на физическую культуру со споротом в 2021 году расходы составили 70,9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., а к 2027 это значение изменилось до 67,8 </w:t>
      </w:r>
      <w:proofErr w:type="spellStart"/>
      <w:r w:rsidRPr="00856043">
        <w:rPr>
          <w:rFonts w:ascii="Times New Roman" w:eastAsia="Calibri" w:hAnsi="Times New Roman" w:cs="Times New Roman"/>
          <w:sz w:val="28"/>
          <w:szCs w:val="28"/>
        </w:rPr>
        <w:t>млрд.р</w:t>
      </w:r>
      <w:proofErr w:type="spellEnd"/>
      <w:r w:rsidRPr="0085604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B1A28" w:rsidRPr="003B1A28" w:rsidRDefault="003B1A28" w:rsidP="003B1A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 w:rsidRPr="003B1A28">
        <w:rPr>
          <w:rFonts w:ascii="Times New Roman" w:eastAsia="Calibri" w:hAnsi="Times New Roman" w:cs="Times New Roman"/>
          <w:sz w:val="28"/>
          <w:szCs w:val="28"/>
        </w:rPr>
        <w:t xml:space="preserve">Государственные программы, как один из ключевых инструментов реализации бюджетной политики, требуют регулярного анализа эффективности и корректировки. Это позволит выявить успешные практики, устранить недостатки и направить ресурсы на наиболее значимые проекты. </w:t>
      </w:r>
      <w:r w:rsidRPr="003B1A28">
        <w:rPr>
          <w:rFonts w:ascii="Times New Roman" w:eastAsia="Calibri" w:hAnsi="Times New Roman" w:cs="Times New Roman"/>
          <w:sz w:val="28"/>
          <w:szCs w:val="28"/>
        </w:rPr>
        <w:lastRenderedPageBreak/>
        <w:t>Кроме того, необходимо уделить внимание долгосрочным программам, ориентированным на развитие инфраструктуры, поддержку инноваций и создание новых рабочих мест, что станет основой для укрепления экономики страны в будущем.</w:t>
      </w:r>
    </w:p>
    <w:p w:rsidR="003B1A28" w:rsidRPr="003B1A28" w:rsidRDefault="003B1A28" w:rsidP="003B1A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A28">
        <w:rPr>
          <w:rFonts w:ascii="Times New Roman" w:eastAsia="Calibri" w:hAnsi="Times New Roman" w:cs="Times New Roman"/>
          <w:sz w:val="28"/>
          <w:szCs w:val="28"/>
        </w:rPr>
        <w:t>Важным аспектом бюджетной политики является баланс между краткосрочными и долгосрочными целями. Достижение устойчивого экономического роста возможно только при условии рационального распределения ресурсов, учета текущих вызовов и формулирования стратегических ориентиров. В этом контексте федеральный бюджет должен стать инструментом не только реагирования на экономические вызовы, но и активного стимулирования роста и модернизации экономики.</w:t>
      </w:r>
    </w:p>
    <w:p w:rsidR="003B1A28" w:rsidRPr="003B1A28" w:rsidRDefault="003B1A28" w:rsidP="003B1A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A28">
        <w:rPr>
          <w:rFonts w:ascii="Times New Roman" w:eastAsia="Calibri" w:hAnsi="Times New Roman" w:cs="Times New Roman"/>
          <w:sz w:val="28"/>
          <w:szCs w:val="28"/>
        </w:rPr>
        <w:t>Подводя итоги, можно отметить, что бюджетная политика Российской Федерации нуждается в комплексных изменениях, направленных на повышение ее устойчивости, эффективности и ориентированности на долгосрочные приоритеты. Реализация предложенных мер позволит не только решить существующие проблемы, но и создать фундамент для стабильного экономического развития и повышения уровня благосостояния граждан.</w:t>
      </w:r>
    </w:p>
    <w:p w:rsidR="003B1A28" w:rsidRPr="003B1A28" w:rsidRDefault="003B1A28" w:rsidP="003B1A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043" w:rsidRPr="00856043" w:rsidRDefault="00856043" w:rsidP="008560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6F15" w:rsidRDefault="00696F15"/>
    <w:sectPr w:rsidR="0069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A78" w:rsidRDefault="002F5A78" w:rsidP="00856043">
      <w:pPr>
        <w:spacing w:after="0" w:line="240" w:lineRule="auto"/>
      </w:pPr>
      <w:r>
        <w:separator/>
      </w:r>
    </w:p>
  </w:endnote>
  <w:endnote w:type="continuationSeparator" w:id="0">
    <w:p w:rsidR="002F5A78" w:rsidRDefault="002F5A78" w:rsidP="00856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A78" w:rsidRDefault="002F5A78" w:rsidP="00856043">
      <w:pPr>
        <w:spacing w:after="0" w:line="240" w:lineRule="auto"/>
      </w:pPr>
      <w:r>
        <w:separator/>
      </w:r>
    </w:p>
  </w:footnote>
  <w:footnote w:type="continuationSeparator" w:id="0">
    <w:p w:rsidR="002F5A78" w:rsidRDefault="002F5A78" w:rsidP="00856043">
      <w:pPr>
        <w:spacing w:after="0" w:line="240" w:lineRule="auto"/>
      </w:pPr>
      <w:r>
        <w:continuationSeparator/>
      </w:r>
    </w:p>
  </w:footnote>
  <w:footnote w:id="1">
    <w:p w:rsidR="00856043" w:rsidRPr="009A1252" w:rsidRDefault="00856043" w:rsidP="008560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A1252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9A12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Функциональная классификация статей</w:t>
      </w:r>
      <w:r w:rsidRPr="009A12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расходов бюджетов всех уровней и отражает направление бюджетных средств на выполнение единицами сектора государственного управления и местного самоуправления основных функций, решение социально-экономических задач.</w:t>
      </w:r>
    </w:p>
  </w:footnote>
  <w:footnote w:id="2">
    <w:p w:rsidR="00856043" w:rsidRDefault="00856043" w:rsidP="00856043">
      <w:pPr>
        <w:pStyle w:val="a3"/>
      </w:pPr>
      <w:r>
        <w:rPr>
          <w:rStyle w:val="a5"/>
        </w:rPr>
        <w:footnoteRef/>
      </w:r>
      <w:r>
        <w:t xml:space="preserve"> </w:t>
      </w:r>
      <w:r w:rsidRPr="009C1C97">
        <w:rPr>
          <w:rFonts w:ascii="Times New Roman" w:hAnsi="Times New Roman" w:cs="Times New Roman"/>
          <w:sz w:val="24"/>
          <w:szCs w:val="24"/>
        </w:rPr>
        <w:t>Межбюджетные трансферты</w:t>
      </w:r>
      <w:r w:rsidRPr="009C1C97">
        <w:rPr>
          <w:sz w:val="24"/>
          <w:szCs w:val="24"/>
        </w:rPr>
        <w:t xml:space="preserve"> </w:t>
      </w:r>
      <w:r>
        <w:t xml:space="preserve">– </w:t>
      </w:r>
      <w:r w:rsidRPr="009C1C97">
        <w:rPr>
          <w:rFonts w:ascii="Times New Roman" w:hAnsi="Times New Roman" w:cs="Times New Roman"/>
          <w:sz w:val="24"/>
          <w:szCs w:val="24"/>
        </w:rPr>
        <w:t>это форма финансового регулирования в бюджетной системе, представляющая собой безвозвратные и безвозмездные перечисления денежных средств из одного бюджета бюджетной системы РФ в другой в целях выравнивания бюджетной обеспеченности и реализации единой социально-экономической политики.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05B"/>
    <w:multiLevelType w:val="multilevel"/>
    <w:tmpl w:val="8CEE1F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8711425"/>
    <w:multiLevelType w:val="hybridMultilevel"/>
    <w:tmpl w:val="002E3EA2"/>
    <w:lvl w:ilvl="0" w:tplc="8D265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3278F"/>
    <w:multiLevelType w:val="hybridMultilevel"/>
    <w:tmpl w:val="C2082DBE"/>
    <w:lvl w:ilvl="0" w:tplc="8D265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59"/>
    <w:rsid w:val="002F5A78"/>
    <w:rsid w:val="003B1A28"/>
    <w:rsid w:val="00696F15"/>
    <w:rsid w:val="00856043"/>
    <w:rsid w:val="00A05F30"/>
    <w:rsid w:val="00CC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7086"/>
  <w15:chartTrackingRefBased/>
  <w15:docId w15:val="{B8EB77B2-B633-4693-A5A5-CB620F44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5604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5604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56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Users\dns\Documents\&#1091;&#1095;&#1077;&#1073;&#1072;%20&#1074;%20&#1096;&#1072;&#1088;&#1072;&#1075;&#1077;\&#1074;&#1088;&#1086;&#1076;&#1086;&#1074;&#1089;&#1082;&#1080;&#1077;%20&#1092;&#1072;&#1081;&#1083;&#1099;\&#1044;&#1080;&#1087;&#1083;&#1086;&#1084;\&#1060;&#1041;%20&#1079;&#1072;%2021-27%20&#1075;&#1086;&#1076;&#1072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F:\Users\dns\Documents\&#1091;&#1095;&#1077;&#1073;&#1072;%20&#1074;%20&#1096;&#1072;&#1088;&#1072;&#1075;&#1077;\&#1074;&#1088;&#1086;&#1076;&#1086;&#1074;&#1089;&#1082;&#1080;&#1077;%20&#1092;&#1072;&#1081;&#1083;&#1099;\&#1044;&#1080;&#1087;&#1083;&#1086;&#1084;\&#1060;&#1041;%20&#1079;&#1072;%2021-27%20&#1075;&#1086;&#1076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8717707165987267E-2"/>
          <c:y val="8.8379629629629641E-2"/>
          <c:w val="0.84561679790026245"/>
          <c:h val="0.698317658209390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'Доходы '!$AJ$2</c:f>
              <c:strCache>
                <c:ptCount val="1"/>
                <c:pt idx="0">
                  <c:v>Доходы 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'Доходы '!$AK$1:$AM$1</c:f>
              <c:strCache>
                <c:ptCount val="3"/>
                <c:pt idx="0">
                  <c:v>2021 г.</c:v>
                </c:pt>
                <c:pt idx="1">
                  <c:v>2022 г. </c:v>
                </c:pt>
                <c:pt idx="2">
                  <c:v>2023 г. </c:v>
                </c:pt>
              </c:strCache>
            </c:strRef>
          </c:cat>
          <c:val>
            <c:numRef>
              <c:f>'Доходы '!$AK$2:$AM$2</c:f>
              <c:numCache>
                <c:formatCode>_(* #,##0.00_);_(* \(#,##0.00\);_(* "-"??_);_(@_)</c:formatCode>
                <c:ptCount val="3"/>
                <c:pt idx="0">
                  <c:v>25286.38</c:v>
                </c:pt>
                <c:pt idx="1">
                  <c:v>27824.39</c:v>
                </c:pt>
                <c:pt idx="2">
                  <c:v>29124.03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15-4A2A-AA54-4FE550AEB75B}"/>
            </c:ext>
          </c:extLst>
        </c:ser>
        <c:ser>
          <c:idx val="1"/>
          <c:order val="1"/>
          <c:tx>
            <c:strRef>
              <c:f>'Доходы '!$AJ$3</c:f>
              <c:strCache>
                <c:ptCount val="1"/>
                <c:pt idx="0">
                  <c:v>Расходы </c:v>
                </c:pt>
              </c:strCache>
            </c:strRef>
          </c:tx>
          <c:spPr>
            <a:solidFill>
              <a:schemeClr val="accent3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'Доходы '!$AK$1:$AM$1</c:f>
              <c:strCache>
                <c:ptCount val="3"/>
                <c:pt idx="0">
                  <c:v>2021 г.</c:v>
                </c:pt>
                <c:pt idx="1">
                  <c:v>2022 г. </c:v>
                </c:pt>
                <c:pt idx="2">
                  <c:v>2023 г. </c:v>
                </c:pt>
              </c:strCache>
            </c:strRef>
          </c:cat>
          <c:val>
            <c:numRef>
              <c:f>'Доходы '!$AK$3:$AM$3</c:f>
              <c:numCache>
                <c:formatCode>#,##0.00</c:formatCode>
                <c:ptCount val="3"/>
                <c:pt idx="0">
                  <c:v>24762.1</c:v>
                </c:pt>
                <c:pt idx="1">
                  <c:v>31118.91</c:v>
                </c:pt>
                <c:pt idx="2">
                  <c:v>32353.84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15-4A2A-AA54-4FE550AEB7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22115208"/>
        <c:axId val="312185888"/>
      </c:barChart>
      <c:catAx>
        <c:axId val="5221152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12185888"/>
        <c:crosses val="autoZero"/>
        <c:auto val="1"/>
        <c:lblAlgn val="ctr"/>
        <c:lblOffset val="100"/>
        <c:noMultiLvlLbl val="0"/>
      </c:catAx>
      <c:valAx>
        <c:axId val="312185888"/>
        <c:scaling>
          <c:orientation val="minMax"/>
          <c:max val="32500"/>
          <c:min val="17000"/>
        </c:scaling>
        <c:delete val="0"/>
        <c:axPos val="b"/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221152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072083931951158"/>
          <c:y val="4.6924796715197052E-2"/>
          <c:w val="0.85666521451163313"/>
          <c:h val="0.808567655009700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'Доходы '!$AJ$15</c:f>
              <c:strCache>
                <c:ptCount val="1"/>
                <c:pt idx="0">
                  <c:v>Доходы </c:v>
                </c:pt>
              </c:strCache>
            </c:strRef>
          </c:tx>
          <c:spPr>
            <a:pattFill prst="narVert">
              <a:fgClr>
                <a:schemeClr val="accent3">
                  <a:shade val="65000"/>
                </a:schemeClr>
              </a:fgClr>
              <a:bgClr>
                <a:schemeClr val="accent3">
                  <a:shade val="65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>
                  <a:shade val="65000"/>
                </a:schemeClr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'Доходы '!$AK$14:$AM$14</c:f>
              <c:strCache>
                <c:ptCount val="3"/>
                <c:pt idx="0">
                  <c:v>2021 г.</c:v>
                </c:pt>
                <c:pt idx="1">
                  <c:v>2022 г. </c:v>
                </c:pt>
                <c:pt idx="2">
                  <c:v>2023 г. </c:v>
                </c:pt>
              </c:strCache>
            </c:strRef>
          </c:cat>
          <c:val>
            <c:numRef>
              <c:f>'Доходы '!$AK$15:$AM$15</c:f>
              <c:numCache>
                <c:formatCode>_(* #,##0.00_);_(* \(#,##0.00\);_(* "-"??_);_(@_)</c:formatCode>
                <c:ptCount val="3"/>
                <c:pt idx="0">
                  <c:v>25286.38</c:v>
                </c:pt>
                <c:pt idx="1">
                  <c:v>27824.39</c:v>
                </c:pt>
                <c:pt idx="2">
                  <c:v>29124.03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DA-40B2-8B58-B482D884560A}"/>
            </c:ext>
          </c:extLst>
        </c:ser>
        <c:ser>
          <c:idx val="1"/>
          <c:order val="1"/>
          <c:tx>
            <c:strRef>
              <c:f>'Доходы '!$AJ$16</c:f>
              <c:strCache>
                <c:ptCount val="1"/>
                <c:pt idx="0">
                  <c:v>Расходы фактические</c:v>
                </c:pt>
              </c:strCache>
            </c:strRef>
          </c:tx>
          <c:spPr>
            <a:pattFill prst="narVert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'Доходы '!$AK$14:$AM$14</c:f>
              <c:strCache>
                <c:ptCount val="3"/>
                <c:pt idx="0">
                  <c:v>2021 г.</c:v>
                </c:pt>
                <c:pt idx="1">
                  <c:v>2022 г. </c:v>
                </c:pt>
                <c:pt idx="2">
                  <c:v>2023 г. </c:v>
                </c:pt>
              </c:strCache>
            </c:strRef>
          </c:cat>
          <c:val>
            <c:numRef>
              <c:f>'Доходы '!$AK$16:$AM$16</c:f>
              <c:numCache>
                <c:formatCode>#,##0.00</c:formatCode>
                <c:ptCount val="3"/>
                <c:pt idx="0">
                  <c:v>24762.1</c:v>
                </c:pt>
                <c:pt idx="1">
                  <c:v>31118.91</c:v>
                </c:pt>
                <c:pt idx="2">
                  <c:v>32353.84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DA-40B2-8B58-B482D884560A}"/>
            </c:ext>
          </c:extLst>
        </c:ser>
        <c:ser>
          <c:idx val="2"/>
          <c:order val="2"/>
          <c:tx>
            <c:strRef>
              <c:f>'Доходы '!$AJ$17</c:f>
              <c:strCache>
                <c:ptCount val="1"/>
                <c:pt idx="0">
                  <c:v>Расходы плановые </c:v>
                </c:pt>
              </c:strCache>
            </c:strRef>
          </c:tx>
          <c:spPr>
            <a:pattFill prst="narVert">
              <a:fgClr>
                <a:schemeClr val="accent3">
                  <a:tint val="65000"/>
                </a:schemeClr>
              </a:fgClr>
              <a:bgClr>
                <a:schemeClr val="accent3">
                  <a:tint val="65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>
                  <a:tint val="65000"/>
                </a:schemeClr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'Доходы '!$AK$14:$AM$14</c:f>
              <c:strCache>
                <c:ptCount val="3"/>
                <c:pt idx="0">
                  <c:v>2021 г.</c:v>
                </c:pt>
                <c:pt idx="1">
                  <c:v>2022 г. </c:v>
                </c:pt>
                <c:pt idx="2">
                  <c:v>2023 г. </c:v>
                </c:pt>
              </c:strCache>
            </c:strRef>
          </c:cat>
          <c:val>
            <c:numRef>
              <c:f>'Доходы '!$AK$17:$AM$17</c:f>
              <c:numCache>
                <c:formatCode>#,##0.00</c:formatCode>
                <c:ptCount val="3"/>
                <c:pt idx="0">
                  <c:v>24762.1</c:v>
                </c:pt>
                <c:pt idx="1">
                  <c:v>27614.1</c:v>
                </c:pt>
                <c:pt idx="2">
                  <c:v>29055.599999999999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DA-40B2-8B58-B482D884560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27"/>
        <c:overlap val="-48"/>
        <c:axId val="820658120"/>
        <c:axId val="820648608"/>
      </c:barChart>
      <c:catAx>
        <c:axId val="820658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20648608"/>
        <c:crosses val="autoZero"/>
        <c:auto val="1"/>
        <c:lblAlgn val="ctr"/>
        <c:lblOffset val="100"/>
        <c:noMultiLvlLbl val="0"/>
      </c:catAx>
      <c:valAx>
        <c:axId val="820648608"/>
        <c:scaling>
          <c:orientation val="minMax"/>
        </c:scaling>
        <c:delete val="1"/>
        <c:axPos val="b"/>
        <c:numFmt formatCode="_(* #,##0.00_);_(* \(#,##0.00\);_(* &quot;-&quot;??_);_(@_)" sourceLinked="1"/>
        <c:majorTickMark val="none"/>
        <c:minorTickMark val="none"/>
        <c:tickLblPos val="nextTo"/>
        <c:crossAx val="820658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3035</Words>
  <Characters>17302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Меркурьева Лариса Александровна</dc:creator>
  <cp:keywords/>
  <dc:description/>
  <cp:lastModifiedBy>Меркурьева Лариса Александровна</cp:lastModifiedBy>
  <cp:revision>2</cp:revision>
  <dcterms:created xsi:type="dcterms:W3CDTF">2025-05-29T05:38:00Z</dcterms:created>
  <dcterms:modified xsi:type="dcterms:W3CDTF">2025-05-29T05:38:00Z</dcterms:modified>
</cp:coreProperties>
</file>