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charts/chart6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charts/chart7.xml" ContentType="application/vnd.openxmlformats-officedocument.drawingml.chart+xml"/>
  <Override PartName="/word/charts/style7.xml" ContentType="application/vnd.ms-office.chartstyle+xml"/>
  <Override PartName="/word/charts/colors7.xml" ContentType="application/vnd.ms-office.chartcolorstyle+xml"/>
  <Override PartName="/word/charts/chart8.xml" ContentType="application/vnd.openxmlformats-officedocument.drawingml.chart+xml"/>
  <Override PartName="/word/charts/style8.xml" ContentType="application/vnd.ms-office.chartstyle+xml"/>
  <Override PartName="/word/charts/colors8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42359F" w14:textId="3D0FD80C" w:rsidR="000C2B80" w:rsidRPr="007A335D" w:rsidRDefault="00713F4D" w:rsidP="007A335D">
      <w:pPr>
        <w:spacing w:after="0"/>
        <w:ind w:firstLine="851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335D">
        <w:rPr>
          <w:rFonts w:ascii="Times New Roman" w:hAnsi="Times New Roman" w:cs="Times New Roman"/>
          <w:b/>
          <w:sz w:val="28"/>
          <w:szCs w:val="28"/>
        </w:rPr>
        <w:t>Роль дефицита йода в патологии щитовидной железы. Проблема йодного дефицита на территории Тюменской области</w:t>
      </w:r>
      <w:r w:rsidR="00B00782" w:rsidRPr="007A335D">
        <w:rPr>
          <w:rFonts w:ascii="Times New Roman" w:hAnsi="Times New Roman" w:cs="Times New Roman"/>
          <w:b/>
          <w:sz w:val="28"/>
          <w:szCs w:val="28"/>
        </w:rPr>
        <w:t>.</w:t>
      </w:r>
    </w:p>
    <w:p w14:paraId="689A14B2" w14:textId="77777777" w:rsidR="000C2B80" w:rsidRPr="007A335D" w:rsidRDefault="000C2B80" w:rsidP="007A335D">
      <w:pPr>
        <w:spacing w:after="0"/>
        <w:ind w:firstLine="851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14:paraId="66D75408" w14:textId="23E0228C" w:rsidR="000C2B80" w:rsidRPr="007A335D" w:rsidRDefault="00713F4D" w:rsidP="007A335D">
      <w:pPr>
        <w:spacing w:after="0"/>
        <w:ind w:firstLine="851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7A335D">
        <w:rPr>
          <w:rFonts w:ascii="Times New Roman" w:hAnsi="Times New Roman" w:cs="Times New Roman"/>
          <w:sz w:val="28"/>
          <w:szCs w:val="28"/>
        </w:rPr>
        <w:t>Султанова Д</w:t>
      </w:r>
      <w:r w:rsidR="000C2B80" w:rsidRPr="007A335D">
        <w:rPr>
          <w:rFonts w:ascii="Times New Roman" w:hAnsi="Times New Roman" w:cs="Times New Roman"/>
          <w:sz w:val="28"/>
          <w:szCs w:val="28"/>
        </w:rPr>
        <w:t xml:space="preserve">иана </w:t>
      </w:r>
      <w:proofErr w:type="spellStart"/>
      <w:r w:rsidR="000C2B80" w:rsidRPr="007A335D">
        <w:rPr>
          <w:rFonts w:ascii="Times New Roman" w:hAnsi="Times New Roman" w:cs="Times New Roman"/>
          <w:sz w:val="28"/>
          <w:szCs w:val="28"/>
        </w:rPr>
        <w:t>Ринатовна</w:t>
      </w:r>
      <w:proofErr w:type="spellEnd"/>
      <w:r w:rsidR="00556AF3" w:rsidRPr="007A335D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193994146"/>
    </w:p>
    <w:p w14:paraId="79FF6B1C" w14:textId="7E7EF058" w:rsidR="000C2B80" w:rsidRPr="007A335D" w:rsidRDefault="00556AF3" w:rsidP="007A335D">
      <w:pPr>
        <w:spacing w:after="0"/>
        <w:ind w:firstLine="851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7A335D">
        <w:rPr>
          <w:rFonts w:ascii="Times New Roman" w:hAnsi="Times New Roman" w:cs="Times New Roman"/>
          <w:sz w:val="28"/>
          <w:szCs w:val="28"/>
        </w:rPr>
        <w:t>ФГБОУ ВО Тюменский ГМУ Минздрава России, г. Тюмень,</w:t>
      </w:r>
    </w:p>
    <w:p w14:paraId="63A34D5F" w14:textId="77777777" w:rsidR="000C2B80" w:rsidRPr="007A335D" w:rsidRDefault="000C2B80" w:rsidP="007A335D">
      <w:pPr>
        <w:spacing w:after="0"/>
        <w:ind w:firstLine="851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7A335D">
        <w:rPr>
          <w:rFonts w:ascii="Times New Roman" w:hAnsi="Times New Roman" w:cs="Times New Roman"/>
          <w:sz w:val="28"/>
          <w:szCs w:val="28"/>
        </w:rPr>
        <w:t>Институт материнства и детства,</w:t>
      </w:r>
    </w:p>
    <w:p w14:paraId="2506A2F9" w14:textId="5E6631D2" w:rsidR="00556AF3" w:rsidRPr="007A335D" w:rsidRDefault="00556AF3" w:rsidP="007A335D">
      <w:pPr>
        <w:spacing w:after="0"/>
        <w:ind w:firstLine="851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7A335D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 w:rsidR="000C2B80" w:rsidRPr="007A335D">
        <w:rPr>
          <w:rFonts w:ascii="Times New Roman" w:hAnsi="Times New Roman" w:cs="Times New Roman"/>
          <w:sz w:val="28"/>
          <w:szCs w:val="28"/>
        </w:rPr>
        <w:t>К</w:t>
      </w:r>
      <w:r w:rsidRPr="007A335D">
        <w:rPr>
          <w:rFonts w:ascii="Times New Roman" w:hAnsi="Times New Roman" w:cs="Times New Roman"/>
          <w:sz w:val="28"/>
          <w:szCs w:val="28"/>
        </w:rPr>
        <w:t>афедра детских болезней и поликлинической педиатрии</w:t>
      </w:r>
    </w:p>
    <w:p w14:paraId="11921FA8" w14:textId="77777777" w:rsidR="000C2B80" w:rsidRPr="007A335D" w:rsidRDefault="000C2B80" w:rsidP="007A335D">
      <w:pPr>
        <w:spacing w:after="0"/>
        <w:ind w:firstLine="851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14:paraId="49ACD2B0" w14:textId="77777777" w:rsidR="000C2B80" w:rsidRPr="007A335D" w:rsidRDefault="00FD6C99" w:rsidP="007A335D">
      <w:pPr>
        <w:spacing w:after="0"/>
        <w:ind w:firstLine="851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7A335D">
        <w:rPr>
          <w:rFonts w:ascii="Times New Roman" w:hAnsi="Times New Roman" w:cs="Times New Roman"/>
          <w:sz w:val="28"/>
          <w:szCs w:val="28"/>
        </w:rPr>
        <w:t xml:space="preserve">Серебренникова </w:t>
      </w:r>
      <w:r w:rsidR="000C2B80" w:rsidRPr="007A335D">
        <w:rPr>
          <w:rFonts w:ascii="Times New Roman" w:hAnsi="Times New Roman" w:cs="Times New Roman"/>
          <w:sz w:val="28"/>
          <w:szCs w:val="28"/>
        </w:rPr>
        <w:t>Ольга Павловна</w:t>
      </w:r>
    </w:p>
    <w:p w14:paraId="43A92ACA" w14:textId="6509A3BF" w:rsidR="00FD6C99" w:rsidRPr="007A335D" w:rsidRDefault="00FD6C99" w:rsidP="007A335D">
      <w:pPr>
        <w:spacing w:after="0"/>
        <w:ind w:firstLine="851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7A335D">
        <w:rPr>
          <w:rFonts w:ascii="Times New Roman" w:hAnsi="Times New Roman" w:cs="Times New Roman"/>
          <w:sz w:val="28"/>
          <w:szCs w:val="28"/>
        </w:rPr>
        <w:t>ФГБОУ ВО Тюменский ГМУ Минздрава России, г. Тюмень,</w:t>
      </w:r>
    </w:p>
    <w:p w14:paraId="3DDBB52C" w14:textId="7E9FAA1D" w:rsidR="000C2B80" w:rsidRPr="007A335D" w:rsidRDefault="000C2B80" w:rsidP="007A335D">
      <w:pPr>
        <w:spacing w:after="0"/>
        <w:ind w:firstLine="851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7A335D">
        <w:rPr>
          <w:rFonts w:ascii="Times New Roman" w:hAnsi="Times New Roman" w:cs="Times New Roman"/>
          <w:sz w:val="28"/>
          <w:szCs w:val="28"/>
        </w:rPr>
        <w:t>Институт материнства и детства,</w:t>
      </w:r>
    </w:p>
    <w:p w14:paraId="4E4E0A67" w14:textId="2DD525C2" w:rsidR="000C2B80" w:rsidRPr="007A335D" w:rsidRDefault="000C2B80" w:rsidP="007A335D">
      <w:pPr>
        <w:spacing w:after="0"/>
        <w:ind w:firstLine="851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7A335D">
        <w:rPr>
          <w:rFonts w:ascii="Times New Roman" w:hAnsi="Times New Roman" w:cs="Times New Roman"/>
          <w:sz w:val="28"/>
          <w:szCs w:val="28"/>
        </w:rPr>
        <w:t>Кафедра педиатрии и неонатологии</w:t>
      </w:r>
    </w:p>
    <w:p w14:paraId="65164004" w14:textId="77777777" w:rsidR="000C2B80" w:rsidRPr="007A335D" w:rsidRDefault="000C2B80" w:rsidP="007A335D">
      <w:pPr>
        <w:spacing w:after="0"/>
        <w:ind w:firstLine="851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14:paraId="36D6FB42" w14:textId="5102CD2C" w:rsidR="007D195C" w:rsidRDefault="000C2B80" w:rsidP="007A335D">
      <w:pPr>
        <w:spacing w:after="0"/>
        <w:ind w:firstLine="851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7A335D">
        <w:rPr>
          <w:rFonts w:ascii="Times New Roman" w:hAnsi="Times New Roman" w:cs="Times New Roman"/>
          <w:sz w:val="28"/>
          <w:szCs w:val="28"/>
        </w:rPr>
        <w:t xml:space="preserve">Научный руководитель: </w:t>
      </w:r>
    </w:p>
    <w:p w14:paraId="7385ECEB" w14:textId="32E61AE1" w:rsidR="00D221AB" w:rsidRDefault="00D221AB" w:rsidP="00D221AB">
      <w:pPr>
        <w:spacing w:after="0"/>
        <w:ind w:left="567" w:firstLine="851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D221AB">
        <w:rPr>
          <w:rFonts w:ascii="Times New Roman" w:hAnsi="Times New Roman" w:cs="Times New Roman"/>
          <w:sz w:val="28"/>
          <w:szCs w:val="28"/>
        </w:rPr>
        <w:t>ФГБОУ ВО Тюменский ГМУ Минздрава России, г. Тюмень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15D6E80" w14:textId="4D0428E6" w:rsidR="000C2B80" w:rsidRDefault="00D221AB" w:rsidP="00D221AB">
      <w:pPr>
        <w:spacing w:after="0"/>
        <w:ind w:left="567" w:firstLine="851"/>
        <w:contextualSpacing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</w:t>
      </w:r>
      <w:r w:rsidR="005B5B3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B5B3F" w:rsidRPr="007D195C">
        <w:rPr>
          <w:rFonts w:ascii="Times New Roman" w:hAnsi="Times New Roman" w:cs="Times New Roman"/>
          <w:sz w:val="28"/>
          <w:szCs w:val="28"/>
          <w:shd w:val="clear" w:color="auto" w:fill="FFFFFF"/>
        </w:rPr>
        <w:t>Храмова Елена Борисовна</w:t>
      </w:r>
      <w:r w:rsidR="005B5B3F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r w:rsidR="005B5B3F" w:rsidRPr="007D195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B5B3F"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r w:rsidR="007D195C" w:rsidRPr="007D195C">
        <w:rPr>
          <w:rFonts w:ascii="Times New Roman" w:hAnsi="Times New Roman" w:cs="Times New Roman"/>
          <w:sz w:val="28"/>
          <w:szCs w:val="28"/>
          <w:shd w:val="clear" w:color="auto" w:fill="FFFFFF"/>
        </w:rPr>
        <w:t>роректор по научно-</w:t>
      </w:r>
      <w:r w:rsidR="005B5B3F" w:rsidRPr="007D195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исследовательской </w:t>
      </w:r>
      <w:r w:rsidR="005B5B3F">
        <w:rPr>
          <w:rFonts w:ascii="Times New Roman" w:hAnsi="Times New Roman" w:cs="Times New Roman"/>
          <w:sz w:val="28"/>
          <w:szCs w:val="28"/>
          <w:shd w:val="clear" w:color="auto" w:fill="FFFFFF"/>
        </w:rPr>
        <w:t>работе</w:t>
      </w:r>
      <w:r w:rsidR="007D195C" w:rsidRPr="007D195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инновационной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B5B3F" w:rsidRPr="007D195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политике, </w:t>
      </w:r>
      <w:r w:rsidR="005B5B3F">
        <w:rPr>
          <w:rFonts w:ascii="Times New Roman" w:hAnsi="Times New Roman" w:cs="Times New Roman"/>
          <w:sz w:val="28"/>
          <w:szCs w:val="28"/>
          <w:shd w:val="clear" w:color="auto" w:fill="FFFFFF"/>
        </w:rPr>
        <w:t>доктор</w:t>
      </w:r>
      <w:r w:rsidR="007D195C" w:rsidRPr="007D195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медицинских наук, профессор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14:paraId="143BCBD2" w14:textId="07F95B40" w:rsidR="005B5B3F" w:rsidRPr="00D221AB" w:rsidRDefault="005B5B3F" w:rsidP="00D221AB">
      <w:pPr>
        <w:spacing w:after="0"/>
        <w:ind w:left="567" w:firstLine="851"/>
        <w:contextualSpacing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B5B3F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proofErr w:type="spellStart"/>
      <w:r w:rsidRPr="005B5B3F">
        <w:rPr>
          <w:rFonts w:ascii="Times New Roman" w:hAnsi="Times New Roman" w:cs="Times New Roman"/>
          <w:sz w:val="28"/>
          <w:szCs w:val="28"/>
          <w:shd w:val="clear" w:color="auto" w:fill="FFFFFF"/>
        </w:rPr>
        <w:t>Шайтарова</w:t>
      </w:r>
      <w:proofErr w:type="spellEnd"/>
      <w:r w:rsidRPr="005B5B3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Анна Владимировна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r w:rsidRPr="005B5B3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5B5B3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к.м.н., доцент, член Российской ассоциации эндокринологов, член Российского союза </w:t>
      </w:r>
      <w:proofErr w:type="spellStart"/>
      <w:r w:rsidRPr="005B5B3F">
        <w:rPr>
          <w:rFonts w:ascii="Times New Roman" w:hAnsi="Times New Roman" w:cs="Times New Roman"/>
          <w:sz w:val="28"/>
          <w:szCs w:val="28"/>
          <w:shd w:val="clear" w:color="auto" w:fill="FFFFFF"/>
        </w:rPr>
        <w:t>нутрициологов</w:t>
      </w:r>
      <w:proofErr w:type="spellEnd"/>
      <w:r w:rsidRPr="005B5B3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диетологов и специалистов пищевой индустрии: </w:t>
      </w:r>
    </w:p>
    <w:p w14:paraId="13543AB8" w14:textId="77777777" w:rsidR="000C2B80" w:rsidRPr="007A335D" w:rsidRDefault="000C2B80" w:rsidP="007A335D">
      <w:pPr>
        <w:spacing w:after="0"/>
        <w:ind w:firstLine="851"/>
        <w:contextualSpacing/>
        <w:rPr>
          <w:rFonts w:ascii="Times New Roman" w:hAnsi="Times New Roman" w:cs="Times New Roman"/>
          <w:sz w:val="28"/>
          <w:szCs w:val="28"/>
        </w:rPr>
      </w:pPr>
    </w:p>
    <w:p w14:paraId="78897E73" w14:textId="77777777" w:rsidR="000C2B80" w:rsidRPr="007A335D" w:rsidRDefault="000D6757" w:rsidP="007A335D">
      <w:pPr>
        <w:pStyle w:val="a6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A335D">
        <w:rPr>
          <w:rFonts w:ascii="Times New Roman" w:hAnsi="Times New Roman" w:cs="Times New Roman"/>
          <w:b/>
          <w:sz w:val="28"/>
          <w:szCs w:val="28"/>
        </w:rPr>
        <w:t>Актуальность.</w:t>
      </w:r>
      <w:r w:rsidR="007200B5" w:rsidRPr="007A335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45B16" w:rsidRPr="007A335D">
        <w:rPr>
          <w:rFonts w:ascii="Times New Roman" w:hAnsi="Times New Roman" w:cs="Times New Roman"/>
          <w:sz w:val="28"/>
          <w:szCs w:val="28"/>
        </w:rPr>
        <w:t>По данным Всемирной организации здравоохранения (ВОЗ), треть населения планеты находится в условиях йодного дефицита, обусловленного недостаточным содержанием йода в окружающей среде (удаленность от моря, горная местность, старые почвы)</w:t>
      </w:r>
      <w:r w:rsidR="000C2B80" w:rsidRPr="007A335D">
        <w:rPr>
          <w:rFonts w:ascii="Times New Roman" w:hAnsi="Times New Roman" w:cs="Times New Roman"/>
          <w:sz w:val="28"/>
          <w:szCs w:val="28"/>
        </w:rPr>
        <w:t xml:space="preserve"> и</w:t>
      </w:r>
      <w:r w:rsidR="00945B16" w:rsidRPr="007A335D">
        <w:rPr>
          <w:rFonts w:ascii="Times New Roman" w:hAnsi="Times New Roman" w:cs="Times New Roman"/>
          <w:sz w:val="28"/>
          <w:szCs w:val="28"/>
        </w:rPr>
        <w:t xml:space="preserve"> продуктах</w:t>
      </w:r>
      <w:r w:rsidR="00E67461" w:rsidRPr="007A335D">
        <w:rPr>
          <w:rFonts w:ascii="Times New Roman" w:hAnsi="Times New Roman" w:cs="Times New Roman"/>
          <w:sz w:val="28"/>
          <w:szCs w:val="28"/>
        </w:rPr>
        <w:t xml:space="preserve"> </w:t>
      </w:r>
      <w:r w:rsidR="00945B16" w:rsidRPr="007A335D">
        <w:rPr>
          <w:rFonts w:ascii="Times New Roman" w:hAnsi="Times New Roman" w:cs="Times New Roman"/>
          <w:sz w:val="28"/>
          <w:szCs w:val="28"/>
        </w:rPr>
        <w:t>питания.</w:t>
      </w:r>
    </w:p>
    <w:p w14:paraId="1E09C73E" w14:textId="2B485EF0" w:rsidR="000C2B80" w:rsidRPr="007A335D" w:rsidRDefault="00945B16" w:rsidP="007A335D">
      <w:pPr>
        <w:pStyle w:val="a6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A335D">
        <w:rPr>
          <w:rFonts w:ascii="Times New Roman" w:hAnsi="Times New Roman" w:cs="Times New Roman"/>
          <w:sz w:val="28"/>
          <w:szCs w:val="28"/>
        </w:rPr>
        <w:t xml:space="preserve">Также причинами </w:t>
      </w:r>
      <w:proofErr w:type="spellStart"/>
      <w:r w:rsidR="000C2B80" w:rsidRPr="007A335D">
        <w:rPr>
          <w:rFonts w:ascii="Times New Roman" w:hAnsi="Times New Roman" w:cs="Times New Roman"/>
          <w:sz w:val="28"/>
          <w:szCs w:val="28"/>
        </w:rPr>
        <w:t>йоддефицитных</w:t>
      </w:r>
      <w:proofErr w:type="spellEnd"/>
      <w:r w:rsidR="000C2B80" w:rsidRPr="007A335D">
        <w:rPr>
          <w:rFonts w:ascii="Times New Roman" w:hAnsi="Times New Roman" w:cs="Times New Roman"/>
          <w:sz w:val="28"/>
          <w:szCs w:val="28"/>
        </w:rPr>
        <w:t xml:space="preserve"> заболеваний</w:t>
      </w:r>
      <w:r w:rsidRPr="007A335D">
        <w:rPr>
          <w:rFonts w:ascii="Times New Roman" w:hAnsi="Times New Roman" w:cs="Times New Roman"/>
          <w:sz w:val="28"/>
          <w:szCs w:val="28"/>
        </w:rPr>
        <w:t xml:space="preserve"> явля</w:t>
      </w:r>
      <w:r w:rsidR="000C2B80" w:rsidRPr="007A335D">
        <w:rPr>
          <w:rFonts w:ascii="Times New Roman" w:hAnsi="Times New Roman" w:cs="Times New Roman"/>
          <w:sz w:val="28"/>
          <w:szCs w:val="28"/>
        </w:rPr>
        <w:t>ется</w:t>
      </w:r>
      <w:r w:rsidRPr="007A335D">
        <w:rPr>
          <w:rFonts w:ascii="Times New Roman" w:hAnsi="Times New Roman" w:cs="Times New Roman"/>
          <w:sz w:val="28"/>
          <w:szCs w:val="28"/>
        </w:rPr>
        <w:t xml:space="preserve"> генная мутация, приводящая к нарушению поступления йода в щитовидную железу. </w:t>
      </w:r>
    </w:p>
    <w:p w14:paraId="433BD96B" w14:textId="77777777" w:rsidR="000C2B80" w:rsidRPr="007A335D" w:rsidRDefault="00945B16" w:rsidP="007A335D">
      <w:pPr>
        <w:pStyle w:val="a6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A335D">
        <w:rPr>
          <w:rFonts w:ascii="Times New Roman" w:hAnsi="Times New Roman" w:cs="Times New Roman"/>
          <w:sz w:val="28"/>
          <w:szCs w:val="28"/>
        </w:rPr>
        <w:t>Недостаток йода в питании населения приводит к целому ряду заболеваний,</w:t>
      </w:r>
      <w:r w:rsidR="00E67461" w:rsidRPr="007A335D">
        <w:rPr>
          <w:rFonts w:ascii="Times New Roman" w:hAnsi="Times New Roman" w:cs="Times New Roman"/>
          <w:sz w:val="28"/>
          <w:szCs w:val="28"/>
        </w:rPr>
        <w:t xml:space="preserve"> </w:t>
      </w:r>
      <w:r w:rsidRPr="007A335D">
        <w:rPr>
          <w:rFonts w:ascii="Times New Roman" w:hAnsi="Times New Roman" w:cs="Times New Roman"/>
          <w:sz w:val="28"/>
          <w:szCs w:val="28"/>
        </w:rPr>
        <w:t>значительную долю которых составляет патология щитовидной железы, так как он является обязательным структурным компонентом тиреоидных гормонов, которые обеспечивают полноценное развитие и функционирование человеческого организма.</w:t>
      </w:r>
      <w:r w:rsidR="00DE5683" w:rsidRPr="007A335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E79E49B" w14:textId="38FE09FD" w:rsidR="00DE5683" w:rsidRPr="007A335D" w:rsidRDefault="003D2DCA" w:rsidP="007A335D">
      <w:pPr>
        <w:pStyle w:val="a6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A335D">
        <w:rPr>
          <w:rFonts w:ascii="Times New Roman" w:hAnsi="Times New Roman" w:cs="Times New Roman"/>
          <w:sz w:val="28"/>
          <w:szCs w:val="28"/>
        </w:rPr>
        <w:t>К</w:t>
      </w:r>
      <w:r w:rsidR="00DE5683" w:rsidRPr="007A33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E5683" w:rsidRPr="007A335D">
        <w:rPr>
          <w:rFonts w:ascii="Times New Roman" w:hAnsi="Times New Roman" w:cs="Times New Roman"/>
          <w:sz w:val="28"/>
          <w:szCs w:val="28"/>
        </w:rPr>
        <w:t>йоддефицитны</w:t>
      </w:r>
      <w:r w:rsidRPr="007A335D">
        <w:rPr>
          <w:rFonts w:ascii="Times New Roman" w:hAnsi="Times New Roman" w:cs="Times New Roman"/>
          <w:sz w:val="28"/>
          <w:szCs w:val="28"/>
        </w:rPr>
        <w:t>м</w:t>
      </w:r>
      <w:proofErr w:type="spellEnd"/>
      <w:r w:rsidR="00DE5683" w:rsidRPr="007A335D">
        <w:rPr>
          <w:rFonts w:ascii="Times New Roman" w:hAnsi="Times New Roman" w:cs="Times New Roman"/>
          <w:sz w:val="28"/>
          <w:szCs w:val="28"/>
        </w:rPr>
        <w:t xml:space="preserve"> патологи</w:t>
      </w:r>
      <w:r w:rsidRPr="007A335D">
        <w:rPr>
          <w:rFonts w:ascii="Times New Roman" w:hAnsi="Times New Roman" w:cs="Times New Roman"/>
          <w:sz w:val="28"/>
          <w:szCs w:val="28"/>
        </w:rPr>
        <w:t>ям</w:t>
      </w:r>
      <w:r w:rsidR="00DE5683" w:rsidRPr="007A335D">
        <w:rPr>
          <w:rFonts w:ascii="Times New Roman" w:hAnsi="Times New Roman" w:cs="Times New Roman"/>
          <w:sz w:val="28"/>
          <w:szCs w:val="28"/>
        </w:rPr>
        <w:t xml:space="preserve"> относят во внутриутробном периоде </w:t>
      </w:r>
      <w:r w:rsidRPr="007A335D">
        <w:rPr>
          <w:rFonts w:ascii="Times New Roman" w:hAnsi="Times New Roman" w:cs="Times New Roman"/>
          <w:sz w:val="28"/>
          <w:szCs w:val="28"/>
        </w:rPr>
        <w:t xml:space="preserve">относят </w:t>
      </w:r>
      <w:r w:rsidR="00DE5683" w:rsidRPr="007A335D">
        <w:rPr>
          <w:rFonts w:ascii="Times New Roman" w:hAnsi="Times New Roman" w:cs="Times New Roman"/>
          <w:sz w:val="28"/>
          <w:szCs w:val="28"/>
        </w:rPr>
        <w:t>мертворождение, врожденные аномалии, повышение перинатальной и детской смертности, эндемический кретинизм (умственная отсталость, глухонемота, косоглазие, гипотиреоз, карликовость), психомоторные нарушения. У новорожденных</w:t>
      </w:r>
      <w:r w:rsidRPr="007A335D">
        <w:rPr>
          <w:rFonts w:ascii="Times New Roman" w:hAnsi="Times New Roman" w:cs="Times New Roman"/>
          <w:sz w:val="28"/>
          <w:szCs w:val="28"/>
        </w:rPr>
        <w:t xml:space="preserve"> - </w:t>
      </w:r>
      <w:r w:rsidR="00DE5683" w:rsidRPr="007A335D">
        <w:rPr>
          <w:rFonts w:ascii="Times New Roman" w:hAnsi="Times New Roman" w:cs="Times New Roman"/>
          <w:sz w:val="28"/>
          <w:szCs w:val="28"/>
        </w:rPr>
        <w:t xml:space="preserve">неонатальный гипотиреоз, </w:t>
      </w:r>
      <w:r w:rsidRPr="007A335D">
        <w:rPr>
          <w:rFonts w:ascii="Times New Roman" w:hAnsi="Times New Roman" w:cs="Times New Roman"/>
          <w:sz w:val="28"/>
          <w:szCs w:val="28"/>
        </w:rPr>
        <w:t>отставание в нервно-психическом развитии</w:t>
      </w:r>
      <w:r w:rsidR="00DE5683" w:rsidRPr="007A335D">
        <w:rPr>
          <w:rFonts w:ascii="Times New Roman" w:hAnsi="Times New Roman" w:cs="Times New Roman"/>
          <w:sz w:val="28"/>
          <w:szCs w:val="28"/>
        </w:rPr>
        <w:t>.</w:t>
      </w:r>
      <w:r w:rsidR="00DE5683" w:rsidRPr="007A335D">
        <w:rPr>
          <w:rFonts w:ascii="Times New Roman" w:eastAsia="PalatinoLinotype-Roman" w:hAnsi="Times New Roman" w:cs="Times New Roman"/>
          <w:sz w:val="28"/>
          <w:szCs w:val="28"/>
        </w:rPr>
        <w:t xml:space="preserve"> У детей и подростков </w:t>
      </w:r>
      <w:r w:rsidRPr="007A335D">
        <w:rPr>
          <w:rFonts w:ascii="Times New Roman" w:eastAsia="PalatinoLinotype-Roman" w:hAnsi="Times New Roman" w:cs="Times New Roman"/>
          <w:sz w:val="28"/>
          <w:szCs w:val="28"/>
        </w:rPr>
        <w:t>- эндемический</w:t>
      </w:r>
      <w:r w:rsidR="00DE5683" w:rsidRPr="007A335D">
        <w:rPr>
          <w:rFonts w:ascii="Times New Roman" w:eastAsia="PalatinoLinotype-Roman" w:hAnsi="Times New Roman" w:cs="Times New Roman"/>
          <w:sz w:val="28"/>
          <w:szCs w:val="28"/>
        </w:rPr>
        <w:t xml:space="preserve"> </w:t>
      </w:r>
      <w:r w:rsidR="00DE5683" w:rsidRPr="007A335D">
        <w:rPr>
          <w:rFonts w:ascii="Times New Roman" w:hAnsi="Times New Roman" w:cs="Times New Roman"/>
          <w:sz w:val="28"/>
          <w:szCs w:val="28"/>
        </w:rPr>
        <w:t xml:space="preserve">зоб, (субклинический) </w:t>
      </w:r>
      <w:proofErr w:type="spellStart"/>
      <w:r w:rsidR="00DE5683" w:rsidRPr="007A335D">
        <w:rPr>
          <w:rFonts w:ascii="Times New Roman" w:hAnsi="Times New Roman" w:cs="Times New Roman"/>
          <w:sz w:val="28"/>
          <w:szCs w:val="28"/>
        </w:rPr>
        <w:t>гипо</w:t>
      </w:r>
      <w:proofErr w:type="spellEnd"/>
      <w:r w:rsidR="00DE5683" w:rsidRPr="007A335D">
        <w:rPr>
          <w:rFonts w:ascii="Times New Roman" w:hAnsi="Times New Roman" w:cs="Times New Roman"/>
          <w:sz w:val="28"/>
          <w:szCs w:val="28"/>
        </w:rPr>
        <w:t>- и гипертиреоз, нарушение умственного и физического развития.</w:t>
      </w:r>
    </w:p>
    <w:p w14:paraId="0AA6E102" w14:textId="52621C28" w:rsidR="00B00782" w:rsidRPr="007A335D" w:rsidRDefault="00713F4D" w:rsidP="007A335D">
      <w:pPr>
        <w:pStyle w:val="a6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A335D">
        <w:rPr>
          <w:rFonts w:ascii="Times New Roman" w:hAnsi="Times New Roman" w:cs="Times New Roman"/>
          <w:sz w:val="28"/>
          <w:szCs w:val="28"/>
        </w:rPr>
        <w:t xml:space="preserve">Самым распространенным проявлением йодной недостаточности является эндемический зоб (ЭЗ). </w:t>
      </w:r>
      <w:r w:rsidR="00DE5683" w:rsidRPr="007A335D">
        <w:rPr>
          <w:rFonts w:ascii="Times New Roman" w:hAnsi="Times New Roman" w:cs="Times New Roman"/>
          <w:sz w:val="28"/>
          <w:szCs w:val="28"/>
        </w:rPr>
        <w:t xml:space="preserve">Тюменская область исторически является зоной </w:t>
      </w:r>
      <w:proofErr w:type="spellStart"/>
      <w:r w:rsidR="00DE5683" w:rsidRPr="007A335D">
        <w:rPr>
          <w:rFonts w:ascii="Times New Roman" w:hAnsi="Times New Roman" w:cs="Times New Roman"/>
          <w:sz w:val="28"/>
          <w:szCs w:val="28"/>
        </w:rPr>
        <w:lastRenderedPageBreak/>
        <w:t>йоддефицита</w:t>
      </w:r>
      <w:proofErr w:type="spellEnd"/>
      <w:r w:rsidR="00DE5683" w:rsidRPr="007A335D">
        <w:rPr>
          <w:rFonts w:ascii="Times New Roman" w:hAnsi="Times New Roman" w:cs="Times New Roman"/>
          <w:sz w:val="28"/>
          <w:szCs w:val="28"/>
        </w:rPr>
        <w:t xml:space="preserve">. </w:t>
      </w:r>
      <w:r w:rsidRPr="007A335D">
        <w:rPr>
          <w:rFonts w:ascii="Times New Roman" w:hAnsi="Times New Roman" w:cs="Times New Roman"/>
          <w:sz w:val="28"/>
          <w:szCs w:val="28"/>
        </w:rPr>
        <w:t xml:space="preserve">Поэтому профилактика </w:t>
      </w:r>
      <w:proofErr w:type="spellStart"/>
      <w:r w:rsidRPr="007A335D">
        <w:rPr>
          <w:rFonts w:ascii="Times New Roman" w:hAnsi="Times New Roman" w:cs="Times New Roman"/>
          <w:sz w:val="28"/>
          <w:szCs w:val="28"/>
        </w:rPr>
        <w:t>йоддефицита</w:t>
      </w:r>
      <w:proofErr w:type="spellEnd"/>
      <w:r w:rsidRPr="007A335D">
        <w:rPr>
          <w:rFonts w:ascii="Times New Roman" w:hAnsi="Times New Roman" w:cs="Times New Roman"/>
          <w:sz w:val="28"/>
          <w:szCs w:val="28"/>
        </w:rPr>
        <w:t xml:space="preserve"> является важной задачей для врачей.</w:t>
      </w:r>
    </w:p>
    <w:p w14:paraId="3FAC8916" w14:textId="6D021517" w:rsidR="003D2DCA" w:rsidRPr="007A335D" w:rsidRDefault="007200B5" w:rsidP="007A335D">
      <w:pPr>
        <w:spacing w:after="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A335D">
        <w:rPr>
          <w:rFonts w:ascii="Times New Roman" w:hAnsi="Times New Roman" w:cs="Times New Roman"/>
          <w:b/>
          <w:sz w:val="28"/>
          <w:szCs w:val="28"/>
        </w:rPr>
        <w:t xml:space="preserve">Цель исследования: </w:t>
      </w:r>
      <w:r w:rsidR="00B00782" w:rsidRPr="007A335D">
        <w:rPr>
          <w:rFonts w:ascii="Times New Roman" w:hAnsi="Times New Roman" w:cs="Times New Roman"/>
          <w:sz w:val="28"/>
          <w:szCs w:val="28"/>
        </w:rPr>
        <w:t>оцен</w:t>
      </w:r>
      <w:r w:rsidR="009D5258" w:rsidRPr="007A335D">
        <w:rPr>
          <w:rFonts w:ascii="Times New Roman" w:hAnsi="Times New Roman" w:cs="Times New Roman"/>
          <w:sz w:val="28"/>
          <w:szCs w:val="28"/>
        </w:rPr>
        <w:t>ить</w:t>
      </w:r>
      <w:r w:rsidR="00B00782" w:rsidRPr="007A335D">
        <w:rPr>
          <w:rFonts w:ascii="Times New Roman" w:hAnsi="Times New Roman" w:cs="Times New Roman"/>
          <w:sz w:val="28"/>
          <w:szCs w:val="28"/>
        </w:rPr>
        <w:t xml:space="preserve"> </w:t>
      </w:r>
      <w:r w:rsidR="00713F4D" w:rsidRPr="007A335D">
        <w:rPr>
          <w:rFonts w:ascii="Times New Roman" w:hAnsi="Times New Roman" w:cs="Times New Roman"/>
          <w:sz w:val="28"/>
          <w:szCs w:val="28"/>
        </w:rPr>
        <w:t xml:space="preserve">распространенность </w:t>
      </w:r>
      <w:proofErr w:type="spellStart"/>
      <w:r w:rsidR="00713F4D" w:rsidRPr="007A335D">
        <w:rPr>
          <w:rFonts w:ascii="Times New Roman" w:hAnsi="Times New Roman" w:cs="Times New Roman"/>
          <w:sz w:val="28"/>
          <w:szCs w:val="28"/>
        </w:rPr>
        <w:t>йоддефицитных</w:t>
      </w:r>
      <w:proofErr w:type="spellEnd"/>
      <w:r w:rsidR="00713F4D" w:rsidRPr="007A335D">
        <w:rPr>
          <w:rFonts w:ascii="Times New Roman" w:hAnsi="Times New Roman" w:cs="Times New Roman"/>
          <w:sz w:val="28"/>
          <w:szCs w:val="28"/>
        </w:rPr>
        <w:t xml:space="preserve"> состояний</w:t>
      </w:r>
      <w:r w:rsidR="003D2DCA" w:rsidRPr="007A335D">
        <w:rPr>
          <w:rFonts w:ascii="Times New Roman" w:hAnsi="Times New Roman" w:cs="Times New Roman"/>
          <w:sz w:val="28"/>
          <w:szCs w:val="28"/>
        </w:rPr>
        <w:t xml:space="preserve"> среди детского населения</w:t>
      </w:r>
      <w:r w:rsidR="00713F4D" w:rsidRPr="007A335D">
        <w:rPr>
          <w:rFonts w:ascii="Times New Roman" w:hAnsi="Times New Roman" w:cs="Times New Roman"/>
          <w:sz w:val="28"/>
          <w:szCs w:val="28"/>
        </w:rPr>
        <w:t xml:space="preserve"> по Тюменской области</w:t>
      </w:r>
      <w:r w:rsidR="00271DB2" w:rsidRPr="007A335D">
        <w:rPr>
          <w:rFonts w:ascii="Times New Roman" w:hAnsi="Times New Roman" w:cs="Times New Roman"/>
          <w:sz w:val="28"/>
          <w:szCs w:val="28"/>
        </w:rPr>
        <w:t>, степен</w:t>
      </w:r>
      <w:r w:rsidR="003D2DCA" w:rsidRPr="007A335D">
        <w:rPr>
          <w:rFonts w:ascii="Times New Roman" w:hAnsi="Times New Roman" w:cs="Times New Roman"/>
          <w:sz w:val="28"/>
          <w:szCs w:val="28"/>
        </w:rPr>
        <w:t>ь</w:t>
      </w:r>
      <w:r w:rsidR="00271DB2" w:rsidRPr="007A335D">
        <w:rPr>
          <w:rFonts w:ascii="Times New Roman" w:hAnsi="Times New Roman" w:cs="Times New Roman"/>
          <w:sz w:val="28"/>
          <w:szCs w:val="28"/>
        </w:rPr>
        <w:t xml:space="preserve"> тяжести йодного дефицита и мониторинг за проведением массовой йодной профилактикой в Тюменской области и оценка влияния </w:t>
      </w:r>
      <w:proofErr w:type="spellStart"/>
      <w:r w:rsidR="003D2DCA" w:rsidRPr="007A335D">
        <w:rPr>
          <w:rFonts w:ascii="Times New Roman" w:hAnsi="Times New Roman" w:cs="Times New Roman"/>
          <w:sz w:val="28"/>
          <w:szCs w:val="28"/>
        </w:rPr>
        <w:t>йоддефицита</w:t>
      </w:r>
      <w:proofErr w:type="spellEnd"/>
      <w:r w:rsidR="00271DB2" w:rsidRPr="007A335D">
        <w:rPr>
          <w:rFonts w:ascii="Times New Roman" w:hAnsi="Times New Roman" w:cs="Times New Roman"/>
          <w:sz w:val="28"/>
          <w:szCs w:val="28"/>
        </w:rPr>
        <w:t xml:space="preserve"> и его коррекции на состояние детского здоровья. </w:t>
      </w:r>
      <w:r w:rsidR="003D2DCA" w:rsidRPr="007A335D">
        <w:rPr>
          <w:rFonts w:ascii="Times New Roman" w:hAnsi="Times New Roman" w:cs="Times New Roman"/>
          <w:sz w:val="28"/>
          <w:szCs w:val="28"/>
        </w:rPr>
        <w:t>Также оценить роль использования й</w:t>
      </w:r>
      <w:r w:rsidR="00D60B5C" w:rsidRPr="007A335D">
        <w:rPr>
          <w:rFonts w:ascii="Times New Roman" w:hAnsi="Times New Roman" w:cs="Times New Roman"/>
          <w:sz w:val="28"/>
          <w:szCs w:val="28"/>
        </w:rPr>
        <w:t>одированн</w:t>
      </w:r>
      <w:r w:rsidR="003D2DCA" w:rsidRPr="007A335D">
        <w:rPr>
          <w:rFonts w:ascii="Times New Roman" w:hAnsi="Times New Roman" w:cs="Times New Roman"/>
          <w:sz w:val="28"/>
          <w:szCs w:val="28"/>
        </w:rPr>
        <w:t xml:space="preserve">ых продуктов питания. </w:t>
      </w:r>
    </w:p>
    <w:p w14:paraId="65BDAA93" w14:textId="66F427EC" w:rsidR="00D60B5C" w:rsidRPr="007A335D" w:rsidRDefault="00D60B5C" w:rsidP="007A335D">
      <w:pPr>
        <w:spacing w:after="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A335D">
        <w:rPr>
          <w:rFonts w:ascii="Times New Roman" w:hAnsi="Times New Roman" w:cs="Times New Roman"/>
          <w:sz w:val="28"/>
          <w:szCs w:val="28"/>
        </w:rPr>
        <w:t xml:space="preserve">Оценить информированность и особенности поведения </w:t>
      </w:r>
      <w:r w:rsidR="00DE5683" w:rsidRPr="007A335D">
        <w:rPr>
          <w:rFonts w:ascii="Times New Roman" w:hAnsi="Times New Roman" w:cs="Times New Roman"/>
          <w:sz w:val="28"/>
          <w:szCs w:val="28"/>
        </w:rPr>
        <w:t>школьников</w:t>
      </w:r>
      <w:r w:rsidRPr="007A335D">
        <w:rPr>
          <w:rFonts w:ascii="Times New Roman" w:hAnsi="Times New Roman" w:cs="Times New Roman"/>
          <w:sz w:val="28"/>
          <w:szCs w:val="28"/>
        </w:rPr>
        <w:t xml:space="preserve"> в вопросах йодной профилактики.</w:t>
      </w:r>
    </w:p>
    <w:p w14:paraId="30F3D3D2" w14:textId="18DEFE74" w:rsidR="00F44111" w:rsidRPr="007A335D" w:rsidRDefault="009D5258" w:rsidP="007A335D">
      <w:pPr>
        <w:spacing w:after="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A335D">
        <w:rPr>
          <w:rFonts w:ascii="Times New Roman" w:hAnsi="Times New Roman" w:cs="Times New Roman"/>
          <w:b/>
          <w:sz w:val="28"/>
          <w:szCs w:val="28"/>
        </w:rPr>
        <w:t>Материал</w:t>
      </w:r>
      <w:r w:rsidR="003D2DCA" w:rsidRPr="007A335D">
        <w:rPr>
          <w:rFonts w:ascii="Times New Roman" w:hAnsi="Times New Roman" w:cs="Times New Roman"/>
          <w:b/>
          <w:sz w:val="28"/>
          <w:szCs w:val="28"/>
        </w:rPr>
        <w:t>ы</w:t>
      </w:r>
      <w:r w:rsidR="00DC722B" w:rsidRPr="007A335D">
        <w:rPr>
          <w:rFonts w:ascii="Times New Roman" w:hAnsi="Times New Roman" w:cs="Times New Roman"/>
          <w:b/>
          <w:sz w:val="28"/>
          <w:szCs w:val="28"/>
        </w:rPr>
        <w:t xml:space="preserve"> и методы</w:t>
      </w:r>
      <w:r w:rsidR="003D2DCA" w:rsidRPr="007A335D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3D2DCA" w:rsidRPr="007A335D">
        <w:rPr>
          <w:rFonts w:ascii="Times New Roman" w:hAnsi="Times New Roman" w:cs="Times New Roman"/>
          <w:sz w:val="28"/>
          <w:szCs w:val="28"/>
        </w:rPr>
        <w:t xml:space="preserve">проведен анализ </w:t>
      </w:r>
      <w:r w:rsidR="002B3248" w:rsidRPr="007A335D">
        <w:rPr>
          <w:rFonts w:ascii="Times New Roman" w:hAnsi="Times New Roman" w:cs="Times New Roman"/>
          <w:sz w:val="28"/>
          <w:szCs w:val="28"/>
        </w:rPr>
        <w:t>9</w:t>
      </w:r>
      <w:r w:rsidR="003D2DCA" w:rsidRPr="007A335D">
        <w:rPr>
          <w:rFonts w:ascii="Times New Roman" w:hAnsi="Times New Roman" w:cs="Times New Roman"/>
          <w:sz w:val="28"/>
          <w:szCs w:val="28"/>
        </w:rPr>
        <w:t>0 амбулаторных карт детей-сирот и детей, оставшихся без попечения родителей, в том числе, принятых под опеку (попечительство) в приемную или патронатную семью</w:t>
      </w:r>
      <w:r w:rsidR="00596B81" w:rsidRPr="007A335D">
        <w:rPr>
          <w:rFonts w:ascii="Times New Roman" w:hAnsi="Times New Roman" w:cs="Times New Roman"/>
          <w:sz w:val="28"/>
          <w:szCs w:val="28"/>
        </w:rPr>
        <w:t xml:space="preserve"> (далее – «опекаемые»)</w:t>
      </w:r>
      <w:r w:rsidR="003D2DCA" w:rsidRPr="007A335D">
        <w:rPr>
          <w:rFonts w:ascii="Times New Roman" w:hAnsi="Times New Roman" w:cs="Times New Roman"/>
          <w:sz w:val="28"/>
          <w:szCs w:val="28"/>
        </w:rPr>
        <w:t xml:space="preserve">. Проведено анкетирование детей </w:t>
      </w:r>
      <w:r w:rsidR="002B3248" w:rsidRPr="007A335D">
        <w:rPr>
          <w:rFonts w:ascii="Times New Roman" w:hAnsi="Times New Roman" w:cs="Times New Roman"/>
          <w:sz w:val="28"/>
          <w:szCs w:val="28"/>
        </w:rPr>
        <w:t>в возрасте от 10 лет и старше; проведено анкетирование законных представителей (опекунов). Выбор данной группы детского населения ГАУЗ ТО «Городская поликлиника №</w:t>
      </w:r>
      <w:proofErr w:type="gramStart"/>
      <w:r w:rsidR="002B3248" w:rsidRPr="007A335D">
        <w:rPr>
          <w:rFonts w:ascii="Times New Roman" w:hAnsi="Times New Roman" w:cs="Times New Roman"/>
          <w:sz w:val="28"/>
          <w:szCs w:val="28"/>
        </w:rPr>
        <w:t>8»  обусловлен</w:t>
      </w:r>
      <w:proofErr w:type="gramEnd"/>
      <w:r w:rsidR="002B3248" w:rsidRPr="007A335D">
        <w:rPr>
          <w:rFonts w:ascii="Times New Roman" w:hAnsi="Times New Roman" w:cs="Times New Roman"/>
          <w:sz w:val="28"/>
          <w:szCs w:val="28"/>
        </w:rPr>
        <w:t xml:space="preserve"> доступностью всестороннего обследования (осмотр врачами-специалистами, ультразвуковое исследование внутренних органов, в частности – щитовидной железы) и возможностью установить сроки начала </w:t>
      </w:r>
      <w:proofErr w:type="spellStart"/>
      <w:r w:rsidR="002B3248" w:rsidRPr="007A335D">
        <w:rPr>
          <w:rFonts w:ascii="Times New Roman" w:hAnsi="Times New Roman" w:cs="Times New Roman"/>
          <w:sz w:val="28"/>
          <w:szCs w:val="28"/>
        </w:rPr>
        <w:t>йоддефицитных</w:t>
      </w:r>
      <w:proofErr w:type="spellEnd"/>
      <w:r w:rsidR="002B3248" w:rsidRPr="007A335D">
        <w:rPr>
          <w:rFonts w:ascii="Times New Roman" w:hAnsi="Times New Roman" w:cs="Times New Roman"/>
          <w:sz w:val="28"/>
          <w:szCs w:val="28"/>
        </w:rPr>
        <w:t xml:space="preserve"> заболеваний (ежегодное проведение диспансеризации). </w:t>
      </w:r>
    </w:p>
    <w:p w14:paraId="670C9811" w14:textId="62209E10" w:rsidR="002B3248" w:rsidRPr="007A335D" w:rsidRDefault="00F44111" w:rsidP="007A335D">
      <w:pPr>
        <w:spacing w:after="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A335D">
        <w:rPr>
          <w:rFonts w:ascii="Times New Roman" w:hAnsi="Times New Roman" w:cs="Times New Roman"/>
          <w:sz w:val="28"/>
          <w:szCs w:val="28"/>
        </w:rPr>
        <w:tab/>
        <w:t>На территории ГАУЗ ТО «Городская поликлиника №8»</w:t>
      </w:r>
      <w:r w:rsidR="00596B81" w:rsidRPr="007A335D">
        <w:rPr>
          <w:rFonts w:ascii="Times New Roman" w:hAnsi="Times New Roman" w:cs="Times New Roman"/>
          <w:sz w:val="28"/>
          <w:szCs w:val="28"/>
        </w:rPr>
        <w:t xml:space="preserve"> проживает 183 ребенка, переданных в семьи, ежегодно проходящих медицинский осмотр.</w:t>
      </w:r>
    </w:p>
    <w:p w14:paraId="185CB5C4" w14:textId="77777777" w:rsidR="00596B81" w:rsidRPr="007A335D" w:rsidRDefault="00596B81" w:rsidP="007A335D">
      <w:pPr>
        <w:spacing w:after="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57FD0A1" w14:textId="703DA5D1" w:rsidR="003D2DCA" w:rsidRPr="007A335D" w:rsidRDefault="002B3248" w:rsidP="007A335D">
      <w:pPr>
        <w:spacing w:after="0"/>
        <w:ind w:firstLine="851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7A335D">
        <w:rPr>
          <w:rFonts w:ascii="Times New Roman" w:hAnsi="Times New Roman" w:cs="Times New Roman"/>
          <w:sz w:val="28"/>
          <w:szCs w:val="28"/>
        </w:rPr>
        <w:t xml:space="preserve"> Рис. 1 Возрастной состав </w:t>
      </w:r>
      <w:r w:rsidR="00F44111" w:rsidRPr="007A335D">
        <w:rPr>
          <w:rFonts w:ascii="Times New Roman" w:hAnsi="Times New Roman" w:cs="Times New Roman"/>
          <w:sz w:val="28"/>
          <w:szCs w:val="28"/>
        </w:rPr>
        <w:t xml:space="preserve">группы </w:t>
      </w:r>
      <w:r w:rsidRPr="007A335D">
        <w:rPr>
          <w:rFonts w:ascii="Times New Roman" w:hAnsi="Times New Roman" w:cs="Times New Roman"/>
          <w:sz w:val="28"/>
          <w:szCs w:val="28"/>
        </w:rPr>
        <w:t>опекаемых детей в ГАУЗ ТО «Городская поликлиника №8»</w:t>
      </w:r>
    </w:p>
    <w:p w14:paraId="5FC5AA42" w14:textId="77777777" w:rsidR="003D2DCA" w:rsidRPr="007A335D" w:rsidRDefault="003D2DCA" w:rsidP="007A335D">
      <w:pPr>
        <w:spacing w:after="0"/>
        <w:ind w:firstLine="851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4CCEDCF4" w14:textId="51F13727" w:rsidR="003D2DCA" w:rsidRPr="007A335D" w:rsidRDefault="00022904" w:rsidP="007A335D">
      <w:pPr>
        <w:spacing w:after="0"/>
        <w:ind w:firstLine="851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335D">
        <w:rPr>
          <w:rFonts w:ascii="Times New Roman" w:hAnsi="Times New Roman" w:cs="Times New Roman"/>
          <w:bCs/>
          <w:noProof/>
          <w:sz w:val="28"/>
          <w:szCs w:val="28"/>
        </w:rPr>
        <w:lastRenderedPageBreak/>
        <w:drawing>
          <wp:inline distT="0" distB="0" distL="0" distR="0" wp14:anchorId="2DDDC3A3" wp14:editId="71E73A72">
            <wp:extent cx="5486400" cy="3200400"/>
            <wp:effectExtent l="0" t="0" r="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14:paraId="7EEFE3F8" w14:textId="77777777" w:rsidR="003D2DCA" w:rsidRPr="007A335D" w:rsidRDefault="003D2DCA" w:rsidP="007A335D">
      <w:pPr>
        <w:spacing w:after="0"/>
        <w:ind w:firstLine="851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0A4F173A" w14:textId="3AEB7EE9" w:rsidR="00A950F7" w:rsidRPr="007A335D" w:rsidRDefault="00713F4D" w:rsidP="007A335D">
      <w:pPr>
        <w:spacing w:after="0"/>
        <w:ind w:firstLine="851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335D">
        <w:rPr>
          <w:rFonts w:ascii="Times New Roman" w:hAnsi="Times New Roman" w:cs="Times New Roman"/>
          <w:bCs/>
          <w:sz w:val="28"/>
          <w:szCs w:val="28"/>
        </w:rPr>
        <w:t xml:space="preserve">Оценка степени тяжести </w:t>
      </w:r>
      <w:proofErr w:type="spellStart"/>
      <w:r w:rsidR="00596B81" w:rsidRPr="007A335D">
        <w:rPr>
          <w:rFonts w:ascii="Times New Roman" w:hAnsi="Times New Roman" w:cs="Times New Roman"/>
          <w:bCs/>
          <w:sz w:val="28"/>
          <w:szCs w:val="28"/>
        </w:rPr>
        <w:t>йоддефицита</w:t>
      </w:r>
      <w:proofErr w:type="spellEnd"/>
      <w:r w:rsidRPr="007A335D">
        <w:rPr>
          <w:rFonts w:ascii="Times New Roman" w:hAnsi="Times New Roman" w:cs="Times New Roman"/>
          <w:bCs/>
          <w:sz w:val="28"/>
          <w:szCs w:val="28"/>
        </w:rPr>
        <w:t xml:space="preserve"> определялась в соответствии с рекомендациями ВОЗ</w:t>
      </w:r>
      <w:r w:rsidR="00271DB2" w:rsidRPr="007A335D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14:paraId="777072BA" w14:textId="2448B22D" w:rsidR="00596B81" w:rsidRPr="007A335D" w:rsidRDefault="00011E78" w:rsidP="007A335D">
      <w:pPr>
        <w:spacing w:after="0"/>
        <w:ind w:firstLine="851"/>
        <w:contextualSpacing/>
        <w:jc w:val="both"/>
        <w:rPr>
          <w:rFonts w:ascii="Times New Roman" w:hAnsi="Times New Roman" w:cs="Times New Roman"/>
          <w:bCs/>
          <w:sz w:val="28"/>
          <w:szCs w:val="28"/>
          <w:highlight w:val="yellow"/>
        </w:rPr>
      </w:pPr>
      <w:r w:rsidRPr="007A335D">
        <w:rPr>
          <w:rFonts w:ascii="Times New Roman" w:hAnsi="Times New Roman" w:cs="Times New Roman"/>
          <w:bCs/>
          <w:sz w:val="28"/>
          <w:szCs w:val="28"/>
        </w:rPr>
        <w:t>Важным условием выборки карт для исследования является регулярное</w:t>
      </w:r>
      <w:r w:rsidR="000A0336" w:rsidRPr="007A335D">
        <w:rPr>
          <w:rFonts w:ascii="Times New Roman" w:hAnsi="Times New Roman" w:cs="Times New Roman"/>
          <w:bCs/>
          <w:sz w:val="28"/>
          <w:szCs w:val="28"/>
        </w:rPr>
        <w:t xml:space="preserve">, динамическое </w:t>
      </w:r>
      <w:r w:rsidRPr="007A335D">
        <w:rPr>
          <w:rFonts w:ascii="Times New Roman" w:hAnsi="Times New Roman" w:cs="Times New Roman"/>
          <w:bCs/>
          <w:sz w:val="28"/>
          <w:szCs w:val="28"/>
        </w:rPr>
        <w:t xml:space="preserve">проведение медицинского осмотра </w:t>
      </w:r>
      <w:r w:rsidR="000A0336" w:rsidRPr="007A335D">
        <w:rPr>
          <w:rFonts w:ascii="Times New Roman" w:hAnsi="Times New Roman" w:cs="Times New Roman"/>
          <w:bCs/>
          <w:sz w:val="28"/>
          <w:szCs w:val="28"/>
        </w:rPr>
        <w:t>для каждого ребенка, в т.ч. обследование на 2 этапе, включающее в себя: консультацию врача-педиатра, детского эндокринолога, УЗИ щитовидной железы,</w:t>
      </w:r>
      <w:r w:rsidR="00636D37">
        <w:rPr>
          <w:rFonts w:ascii="Times New Roman" w:hAnsi="Times New Roman" w:cs="Times New Roman"/>
          <w:bCs/>
          <w:sz w:val="28"/>
          <w:szCs w:val="28"/>
        </w:rPr>
        <w:t xml:space="preserve"> исследование уровня ТТГ. </w:t>
      </w:r>
      <w:r w:rsidR="00636D37" w:rsidRPr="00636D37">
        <w:rPr>
          <w:rFonts w:ascii="Times New Roman" w:hAnsi="Times New Roman" w:cs="Times New Roman"/>
          <w:bCs/>
          <w:sz w:val="28"/>
          <w:szCs w:val="28"/>
        </w:rPr>
        <w:t xml:space="preserve">При выявлении узлового или </w:t>
      </w:r>
      <w:proofErr w:type="spellStart"/>
      <w:r w:rsidR="00636D37" w:rsidRPr="00636D37">
        <w:rPr>
          <w:rFonts w:ascii="Times New Roman" w:hAnsi="Times New Roman" w:cs="Times New Roman"/>
          <w:bCs/>
          <w:sz w:val="28"/>
          <w:szCs w:val="28"/>
        </w:rPr>
        <w:t>многоузлового</w:t>
      </w:r>
      <w:proofErr w:type="spellEnd"/>
      <w:r w:rsidR="00636D37" w:rsidRPr="00636D37">
        <w:rPr>
          <w:rFonts w:ascii="Times New Roman" w:hAnsi="Times New Roman" w:cs="Times New Roman"/>
          <w:bCs/>
          <w:sz w:val="28"/>
          <w:szCs w:val="28"/>
        </w:rPr>
        <w:t xml:space="preserve"> зоба определение уровня ТТГ является обязательным для наблюдения за функцией щитовидной железы. Если уровень ТТГ повышается, дополнительно </w:t>
      </w:r>
      <w:r w:rsidR="00F90C8A">
        <w:rPr>
          <w:rFonts w:ascii="Times New Roman" w:hAnsi="Times New Roman" w:cs="Times New Roman"/>
          <w:bCs/>
          <w:sz w:val="28"/>
          <w:szCs w:val="28"/>
        </w:rPr>
        <w:t>определяем</w:t>
      </w:r>
      <w:r w:rsidR="00636D37" w:rsidRPr="00636D37">
        <w:rPr>
          <w:rFonts w:ascii="Times New Roman" w:hAnsi="Times New Roman" w:cs="Times New Roman"/>
          <w:bCs/>
          <w:sz w:val="28"/>
          <w:szCs w:val="28"/>
        </w:rPr>
        <w:t xml:space="preserve"> антитела к </w:t>
      </w:r>
      <w:proofErr w:type="spellStart"/>
      <w:r w:rsidR="00636D37" w:rsidRPr="00636D37">
        <w:rPr>
          <w:rFonts w:ascii="Times New Roman" w:hAnsi="Times New Roman" w:cs="Times New Roman"/>
          <w:bCs/>
          <w:sz w:val="28"/>
          <w:szCs w:val="28"/>
        </w:rPr>
        <w:t>тиреопероксидазе</w:t>
      </w:r>
      <w:proofErr w:type="spellEnd"/>
      <w:r w:rsidR="00636D37" w:rsidRPr="00636D37">
        <w:rPr>
          <w:rFonts w:ascii="Times New Roman" w:hAnsi="Times New Roman" w:cs="Times New Roman"/>
          <w:bCs/>
          <w:sz w:val="28"/>
          <w:szCs w:val="28"/>
        </w:rPr>
        <w:t xml:space="preserve"> (антитела к ТПО) и антитела к </w:t>
      </w:r>
      <w:proofErr w:type="spellStart"/>
      <w:r w:rsidR="00636D37" w:rsidRPr="00636D37">
        <w:rPr>
          <w:rFonts w:ascii="Times New Roman" w:hAnsi="Times New Roman" w:cs="Times New Roman"/>
          <w:bCs/>
          <w:sz w:val="28"/>
          <w:szCs w:val="28"/>
        </w:rPr>
        <w:t>тиреоглобулину</w:t>
      </w:r>
      <w:proofErr w:type="spellEnd"/>
      <w:r w:rsidR="00636D37" w:rsidRPr="00636D37">
        <w:rPr>
          <w:rFonts w:ascii="Times New Roman" w:hAnsi="Times New Roman" w:cs="Times New Roman"/>
          <w:bCs/>
          <w:sz w:val="28"/>
          <w:szCs w:val="28"/>
        </w:rPr>
        <w:t xml:space="preserve"> в сыворотке крови.</w:t>
      </w:r>
    </w:p>
    <w:p w14:paraId="1215E955" w14:textId="77777777" w:rsidR="0078464B" w:rsidRPr="007A335D" w:rsidRDefault="0078464B" w:rsidP="007A335D">
      <w:pPr>
        <w:spacing w:after="0"/>
        <w:ind w:firstLine="851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335D">
        <w:rPr>
          <w:rFonts w:ascii="Times New Roman" w:hAnsi="Times New Roman" w:cs="Times New Roman"/>
          <w:bCs/>
          <w:sz w:val="28"/>
          <w:szCs w:val="28"/>
        </w:rPr>
        <w:t>Размеры щитовидной железы определялись по данным пальпации и ультразвукового исследования. Ультразвуковое исследование ЩЖ с целью уточнения объема и особенностей структуры.</w:t>
      </w:r>
      <w:r w:rsidRPr="007A335D">
        <w:rPr>
          <w:rFonts w:ascii="Times New Roman" w:hAnsi="Times New Roman" w:cs="Times New Roman"/>
          <w:sz w:val="28"/>
          <w:szCs w:val="28"/>
        </w:rPr>
        <w:t xml:space="preserve"> </w:t>
      </w:r>
      <w:r w:rsidRPr="007A335D">
        <w:rPr>
          <w:rFonts w:ascii="Times New Roman" w:hAnsi="Times New Roman" w:cs="Times New Roman"/>
          <w:bCs/>
          <w:sz w:val="28"/>
          <w:szCs w:val="28"/>
        </w:rPr>
        <w:t xml:space="preserve">Диагноз зоб ставился в случае, если объем ЩЖ превышал 97 перцентилей норматива объема щитовидной железы для данного возраста. </w:t>
      </w:r>
    </w:p>
    <w:p w14:paraId="64C1B4F7" w14:textId="76485F9D" w:rsidR="00596B81" w:rsidRPr="007A335D" w:rsidRDefault="00596B81" w:rsidP="007A335D">
      <w:pPr>
        <w:spacing w:after="0"/>
        <w:ind w:firstLine="851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09C8D2ED" w14:textId="240C3705" w:rsidR="00FF7D69" w:rsidRPr="007A335D" w:rsidRDefault="00596B81" w:rsidP="007A335D">
      <w:pPr>
        <w:spacing w:after="0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335D">
        <w:rPr>
          <w:rFonts w:ascii="Times New Roman" w:hAnsi="Times New Roman" w:cs="Times New Roman"/>
          <w:b/>
          <w:sz w:val="28"/>
          <w:szCs w:val="28"/>
        </w:rPr>
        <w:t xml:space="preserve">Результаты исследования. </w:t>
      </w:r>
    </w:p>
    <w:p w14:paraId="03A78885" w14:textId="77777777" w:rsidR="0078464B" w:rsidRPr="007A335D" w:rsidRDefault="0078464B" w:rsidP="007A335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20B1474F" w14:textId="124F4672" w:rsidR="00596B81" w:rsidRPr="007A335D" w:rsidRDefault="00596B81" w:rsidP="007A335D">
      <w:pPr>
        <w:spacing w:after="0"/>
        <w:ind w:firstLine="851"/>
        <w:jc w:val="right"/>
        <w:rPr>
          <w:rFonts w:ascii="Times New Roman" w:hAnsi="Times New Roman" w:cs="Times New Roman"/>
          <w:sz w:val="28"/>
          <w:szCs w:val="28"/>
        </w:rPr>
      </w:pPr>
      <w:r w:rsidRPr="007A335D">
        <w:rPr>
          <w:rFonts w:ascii="Times New Roman" w:hAnsi="Times New Roman" w:cs="Times New Roman"/>
          <w:sz w:val="28"/>
          <w:szCs w:val="28"/>
        </w:rPr>
        <w:t xml:space="preserve">Рис. 2 Структура </w:t>
      </w:r>
      <w:r w:rsidR="000A0336" w:rsidRPr="007A335D">
        <w:rPr>
          <w:rFonts w:ascii="Times New Roman" w:hAnsi="Times New Roman" w:cs="Times New Roman"/>
          <w:sz w:val="28"/>
          <w:szCs w:val="28"/>
        </w:rPr>
        <w:t xml:space="preserve">тяжести </w:t>
      </w:r>
      <w:proofErr w:type="spellStart"/>
      <w:r w:rsidR="000A0336" w:rsidRPr="007A335D">
        <w:rPr>
          <w:rFonts w:ascii="Times New Roman" w:hAnsi="Times New Roman" w:cs="Times New Roman"/>
          <w:sz w:val="28"/>
          <w:szCs w:val="28"/>
        </w:rPr>
        <w:t>йоддефицита</w:t>
      </w:r>
      <w:proofErr w:type="spellEnd"/>
      <w:r w:rsidRPr="007A335D">
        <w:rPr>
          <w:rFonts w:ascii="Times New Roman" w:hAnsi="Times New Roman" w:cs="Times New Roman"/>
          <w:sz w:val="28"/>
          <w:szCs w:val="28"/>
        </w:rPr>
        <w:t>, выявлен</w:t>
      </w:r>
      <w:r w:rsidR="000A0336" w:rsidRPr="007A335D">
        <w:rPr>
          <w:rFonts w:ascii="Times New Roman" w:hAnsi="Times New Roman" w:cs="Times New Roman"/>
          <w:sz w:val="28"/>
          <w:szCs w:val="28"/>
        </w:rPr>
        <w:t>н</w:t>
      </w:r>
      <w:r w:rsidRPr="007A335D">
        <w:rPr>
          <w:rFonts w:ascii="Times New Roman" w:hAnsi="Times New Roman" w:cs="Times New Roman"/>
          <w:sz w:val="28"/>
          <w:szCs w:val="28"/>
        </w:rPr>
        <w:t>о</w:t>
      </w:r>
      <w:r w:rsidR="000A0336" w:rsidRPr="007A335D">
        <w:rPr>
          <w:rFonts w:ascii="Times New Roman" w:hAnsi="Times New Roman" w:cs="Times New Roman"/>
          <w:sz w:val="28"/>
          <w:szCs w:val="28"/>
        </w:rPr>
        <w:t>го</w:t>
      </w:r>
      <w:r w:rsidRPr="007A335D">
        <w:rPr>
          <w:rFonts w:ascii="Times New Roman" w:hAnsi="Times New Roman" w:cs="Times New Roman"/>
          <w:sz w:val="28"/>
          <w:szCs w:val="28"/>
        </w:rPr>
        <w:t xml:space="preserve"> в группе опекаемых детей в ГАУЗ ТО «Городская поликлиника №8»</w:t>
      </w:r>
      <w:r w:rsidR="00D80D7C" w:rsidRPr="007A335D">
        <w:rPr>
          <w:rFonts w:ascii="Times New Roman" w:hAnsi="Times New Roman" w:cs="Times New Roman"/>
          <w:sz w:val="28"/>
          <w:szCs w:val="28"/>
        </w:rPr>
        <w:t xml:space="preserve"> за 2023</w:t>
      </w:r>
      <w:r w:rsidR="000A0336" w:rsidRPr="007A335D">
        <w:rPr>
          <w:rFonts w:ascii="Times New Roman" w:hAnsi="Times New Roman" w:cs="Times New Roman"/>
          <w:sz w:val="28"/>
          <w:szCs w:val="28"/>
        </w:rPr>
        <w:t>-2025гг</w:t>
      </w:r>
      <w:r w:rsidR="00D80D7C" w:rsidRPr="007A335D">
        <w:rPr>
          <w:rFonts w:ascii="Times New Roman" w:hAnsi="Times New Roman" w:cs="Times New Roman"/>
          <w:sz w:val="28"/>
          <w:szCs w:val="28"/>
        </w:rPr>
        <w:t>.</w:t>
      </w:r>
    </w:p>
    <w:p w14:paraId="67FE3164" w14:textId="1DB9C08B" w:rsidR="00D80D7C" w:rsidRPr="007A335D" w:rsidRDefault="00D80D7C" w:rsidP="007A335D">
      <w:pPr>
        <w:spacing w:after="0"/>
        <w:ind w:firstLine="851"/>
        <w:jc w:val="right"/>
        <w:rPr>
          <w:rFonts w:ascii="Times New Roman" w:hAnsi="Times New Roman" w:cs="Times New Roman"/>
          <w:sz w:val="28"/>
          <w:szCs w:val="28"/>
        </w:rPr>
      </w:pPr>
    </w:p>
    <w:p w14:paraId="7A1C4798" w14:textId="02A6762A" w:rsidR="00D80D7C" w:rsidRPr="007A335D" w:rsidRDefault="00D80D7C" w:rsidP="007A335D">
      <w:pPr>
        <w:spacing w:after="0"/>
        <w:ind w:firstLine="851"/>
        <w:jc w:val="right"/>
        <w:rPr>
          <w:rFonts w:ascii="Times New Roman" w:hAnsi="Times New Roman" w:cs="Times New Roman"/>
          <w:sz w:val="28"/>
          <w:szCs w:val="28"/>
        </w:rPr>
      </w:pPr>
      <w:r w:rsidRPr="007A335D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 wp14:anchorId="470FCE33" wp14:editId="74F88FAD">
            <wp:extent cx="5486400" cy="3200400"/>
            <wp:effectExtent l="0" t="0" r="0" b="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14:paraId="291DDC80" w14:textId="77777777" w:rsidR="00D80D7C" w:rsidRPr="007A335D" w:rsidRDefault="00D80D7C" w:rsidP="007A335D">
      <w:pPr>
        <w:spacing w:after="0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2A3F583E" w14:textId="414B1E94" w:rsidR="000A0336" w:rsidRPr="007A335D" w:rsidRDefault="000A0336" w:rsidP="007A335D">
      <w:pPr>
        <w:spacing w:after="0"/>
        <w:ind w:firstLine="851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335D">
        <w:rPr>
          <w:rFonts w:ascii="Times New Roman" w:hAnsi="Times New Roman" w:cs="Times New Roman"/>
          <w:bCs/>
          <w:sz w:val="28"/>
          <w:szCs w:val="28"/>
        </w:rPr>
        <w:t xml:space="preserve">Исследованием в соответствии с критериями ВОЗ доказано наличие легкой и средней тяжести </w:t>
      </w:r>
      <w:proofErr w:type="spellStart"/>
      <w:r w:rsidRPr="007A335D">
        <w:rPr>
          <w:rFonts w:ascii="Times New Roman" w:hAnsi="Times New Roman" w:cs="Times New Roman"/>
          <w:bCs/>
          <w:sz w:val="28"/>
          <w:szCs w:val="28"/>
        </w:rPr>
        <w:t>йоддефицитных</w:t>
      </w:r>
      <w:proofErr w:type="spellEnd"/>
      <w:r w:rsidRPr="007A335D">
        <w:rPr>
          <w:rFonts w:ascii="Times New Roman" w:hAnsi="Times New Roman" w:cs="Times New Roman"/>
          <w:bCs/>
          <w:sz w:val="28"/>
          <w:szCs w:val="28"/>
        </w:rPr>
        <w:t xml:space="preserve"> заболеваний</w:t>
      </w:r>
      <w:r w:rsidR="0078464B" w:rsidRPr="007A335D">
        <w:rPr>
          <w:rFonts w:ascii="Times New Roman" w:hAnsi="Times New Roman" w:cs="Times New Roman"/>
          <w:bCs/>
          <w:sz w:val="28"/>
          <w:szCs w:val="28"/>
        </w:rPr>
        <w:t xml:space="preserve"> (степень 1 и степень 2)</w:t>
      </w:r>
      <w:r w:rsidRPr="007A335D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14:paraId="55588E31" w14:textId="49C227BE" w:rsidR="000A0336" w:rsidRPr="007A335D" w:rsidRDefault="00FF7D69" w:rsidP="007A335D">
      <w:pPr>
        <w:spacing w:after="0"/>
        <w:ind w:firstLine="851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335D">
        <w:rPr>
          <w:rFonts w:ascii="Times New Roman" w:hAnsi="Times New Roman" w:cs="Times New Roman"/>
          <w:bCs/>
          <w:sz w:val="28"/>
          <w:szCs w:val="28"/>
        </w:rPr>
        <w:t xml:space="preserve">На фоне профилактики и коррекции </w:t>
      </w:r>
      <w:proofErr w:type="spellStart"/>
      <w:r w:rsidRPr="007A335D">
        <w:rPr>
          <w:rFonts w:ascii="Times New Roman" w:hAnsi="Times New Roman" w:cs="Times New Roman"/>
          <w:bCs/>
          <w:sz w:val="28"/>
          <w:szCs w:val="28"/>
        </w:rPr>
        <w:t>йоддефицитных</w:t>
      </w:r>
      <w:proofErr w:type="spellEnd"/>
      <w:r w:rsidRPr="007A335D">
        <w:rPr>
          <w:rFonts w:ascii="Times New Roman" w:hAnsi="Times New Roman" w:cs="Times New Roman"/>
          <w:bCs/>
          <w:sz w:val="28"/>
          <w:szCs w:val="28"/>
        </w:rPr>
        <w:t xml:space="preserve"> состояний с применением йодида калия, степень тяжести стала снижаться</w:t>
      </w:r>
      <w:r w:rsidR="00C3002B" w:rsidRPr="007A335D">
        <w:rPr>
          <w:rFonts w:ascii="Times New Roman" w:hAnsi="Times New Roman" w:cs="Times New Roman"/>
          <w:bCs/>
          <w:sz w:val="28"/>
          <w:szCs w:val="28"/>
        </w:rPr>
        <w:t xml:space="preserve"> т.к. ад</w:t>
      </w:r>
      <w:r w:rsidR="00C3002B" w:rsidRPr="007A335D">
        <w:rPr>
          <w:rFonts w:ascii="Times New Roman" w:hAnsi="Times New Roman" w:cs="Times New Roman"/>
          <w:sz w:val="28"/>
          <w:szCs w:val="28"/>
        </w:rPr>
        <w:t xml:space="preserve">екватная дотация йода приводит к улучшению йодного статуса и уменьшению степени </w:t>
      </w:r>
      <w:proofErr w:type="spellStart"/>
      <w:r w:rsidR="00C3002B" w:rsidRPr="007A335D">
        <w:rPr>
          <w:rFonts w:ascii="Times New Roman" w:hAnsi="Times New Roman" w:cs="Times New Roman"/>
          <w:sz w:val="28"/>
          <w:szCs w:val="28"/>
        </w:rPr>
        <w:t>йоддефицита</w:t>
      </w:r>
      <w:proofErr w:type="spellEnd"/>
      <w:r w:rsidR="00C3002B" w:rsidRPr="007A335D">
        <w:rPr>
          <w:rFonts w:ascii="Times New Roman" w:hAnsi="Times New Roman" w:cs="Times New Roman"/>
          <w:sz w:val="28"/>
          <w:szCs w:val="28"/>
        </w:rPr>
        <w:t xml:space="preserve"> по критериям ВОЗ у</w:t>
      </w:r>
      <w:r w:rsidR="00C23785" w:rsidRPr="007A335D">
        <w:rPr>
          <w:rFonts w:ascii="Times New Roman" w:hAnsi="Times New Roman" w:cs="Times New Roman"/>
          <w:sz w:val="28"/>
          <w:szCs w:val="28"/>
        </w:rPr>
        <w:t xml:space="preserve"> детей</w:t>
      </w:r>
      <w:r w:rsidR="00C3002B" w:rsidRPr="007A335D">
        <w:rPr>
          <w:rFonts w:ascii="Times New Roman" w:hAnsi="Times New Roman" w:cs="Times New Roman"/>
          <w:sz w:val="28"/>
          <w:szCs w:val="28"/>
        </w:rPr>
        <w:t>.</w:t>
      </w:r>
    </w:p>
    <w:p w14:paraId="5D2F7505" w14:textId="77777777" w:rsidR="00C23785" w:rsidRPr="007A335D" w:rsidRDefault="00C23785" w:rsidP="007A335D">
      <w:pPr>
        <w:spacing w:after="0"/>
        <w:ind w:firstLine="851"/>
        <w:jc w:val="right"/>
        <w:rPr>
          <w:rFonts w:ascii="Times New Roman" w:hAnsi="Times New Roman" w:cs="Times New Roman"/>
          <w:sz w:val="28"/>
          <w:szCs w:val="28"/>
        </w:rPr>
      </w:pPr>
      <w:r w:rsidRPr="007A335D">
        <w:rPr>
          <w:rFonts w:ascii="Times New Roman" w:hAnsi="Times New Roman" w:cs="Times New Roman"/>
          <w:sz w:val="28"/>
          <w:szCs w:val="28"/>
        </w:rPr>
        <w:t xml:space="preserve">Рис. 2 Структура клинических проявлений в группе опекаемых детей с выявленным </w:t>
      </w:r>
      <w:proofErr w:type="spellStart"/>
      <w:r w:rsidRPr="007A335D">
        <w:rPr>
          <w:rFonts w:ascii="Times New Roman" w:hAnsi="Times New Roman" w:cs="Times New Roman"/>
          <w:sz w:val="28"/>
          <w:szCs w:val="28"/>
        </w:rPr>
        <w:t>йоддефицитом</w:t>
      </w:r>
      <w:proofErr w:type="spellEnd"/>
      <w:r w:rsidRPr="007A335D">
        <w:rPr>
          <w:rFonts w:ascii="Times New Roman" w:hAnsi="Times New Roman" w:cs="Times New Roman"/>
          <w:sz w:val="28"/>
          <w:szCs w:val="28"/>
        </w:rPr>
        <w:t xml:space="preserve"> в ГАУЗ ТО «Городская поликлиника №8» </w:t>
      </w:r>
    </w:p>
    <w:p w14:paraId="386DE8C4" w14:textId="3A5154D0" w:rsidR="00C23785" w:rsidRPr="007A335D" w:rsidRDefault="00C23785" w:rsidP="007A335D">
      <w:pPr>
        <w:spacing w:after="0"/>
        <w:ind w:firstLine="851"/>
        <w:jc w:val="right"/>
        <w:rPr>
          <w:rFonts w:ascii="Times New Roman" w:hAnsi="Times New Roman" w:cs="Times New Roman"/>
          <w:sz w:val="28"/>
          <w:szCs w:val="28"/>
        </w:rPr>
      </w:pPr>
      <w:r w:rsidRPr="007A335D">
        <w:rPr>
          <w:rFonts w:ascii="Times New Roman" w:hAnsi="Times New Roman" w:cs="Times New Roman"/>
          <w:sz w:val="28"/>
          <w:szCs w:val="28"/>
        </w:rPr>
        <w:t>за 2023-2025гг.</w:t>
      </w:r>
    </w:p>
    <w:p w14:paraId="28956B72" w14:textId="74A0F77B" w:rsidR="00C23785" w:rsidRPr="007A335D" w:rsidRDefault="00C23785" w:rsidP="007A335D">
      <w:pPr>
        <w:spacing w:after="0"/>
        <w:ind w:firstLine="851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7A335D">
        <w:rPr>
          <w:rFonts w:ascii="Times New Roman" w:hAnsi="Times New Roman" w:cs="Times New Roman"/>
          <w:bCs/>
          <w:noProof/>
          <w:sz w:val="28"/>
          <w:szCs w:val="28"/>
        </w:rPr>
        <w:drawing>
          <wp:inline distT="0" distB="0" distL="0" distR="0" wp14:anchorId="5E432B76" wp14:editId="4E6C03C1">
            <wp:extent cx="6019800" cy="1900052"/>
            <wp:effectExtent l="0" t="0" r="0" b="5080"/>
            <wp:docPr id="13" name="Диаграмма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14:paraId="68812821" w14:textId="39D2638A" w:rsidR="00C23785" w:rsidRPr="007A335D" w:rsidRDefault="00432905" w:rsidP="007A335D">
      <w:pPr>
        <w:spacing w:after="0"/>
        <w:ind w:firstLine="851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335D">
        <w:rPr>
          <w:rFonts w:ascii="Times New Roman" w:hAnsi="Times New Roman" w:cs="Times New Roman"/>
          <w:bCs/>
          <w:noProof/>
          <w:sz w:val="28"/>
          <w:szCs w:val="28"/>
        </w:rPr>
        <w:lastRenderedPageBreak/>
        <w:drawing>
          <wp:inline distT="0" distB="0" distL="0" distR="0" wp14:anchorId="574170E2" wp14:editId="18185027">
            <wp:extent cx="6019800" cy="1900052"/>
            <wp:effectExtent l="0" t="0" r="0" b="5080"/>
            <wp:docPr id="15" name="Диаграмма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19623B1E" w14:textId="6882A186" w:rsidR="00432905" w:rsidRPr="007A335D" w:rsidRDefault="00432905" w:rsidP="007A335D">
      <w:pPr>
        <w:spacing w:after="0"/>
        <w:ind w:firstLine="851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335D">
        <w:rPr>
          <w:rFonts w:ascii="Times New Roman" w:hAnsi="Times New Roman" w:cs="Times New Roman"/>
          <w:bCs/>
          <w:noProof/>
          <w:sz w:val="28"/>
          <w:szCs w:val="28"/>
        </w:rPr>
        <w:drawing>
          <wp:inline distT="0" distB="0" distL="0" distR="0" wp14:anchorId="767B7149" wp14:editId="152AAABD">
            <wp:extent cx="6019800" cy="1900052"/>
            <wp:effectExtent l="0" t="0" r="0" b="5080"/>
            <wp:docPr id="16" name="Диаграмма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4251E4F8" w14:textId="31F7E423" w:rsidR="00432905" w:rsidRPr="007A335D" w:rsidRDefault="00432905" w:rsidP="007A335D">
      <w:pPr>
        <w:spacing w:after="0"/>
        <w:ind w:firstLine="851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0A497A44" w14:textId="3FE44970" w:rsidR="007A335D" w:rsidRPr="007A335D" w:rsidRDefault="007A335D" w:rsidP="007A335D">
      <w:pPr>
        <w:spacing w:after="0"/>
        <w:ind w:firstLine="851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335D">
        <w:rPr>
          <w:rFonts w:ascii="Times New Roman" w:hAnsi="Times New Roman" w:cs="Times New Roman"/>
          <w:bCs/>
          <w:sz w:val="28"/>
          <w:szCs w:val="28"/>
        </w:rPr>
        <w:t xml:space="preserve">В период с 2023 по 2025 год наблюдается значительное улучшение состояния здоровья детей на фоне приема йодированной соли. В 2023 году среди 90 обследованных детей были распространены жалобы на усталость, вялость, сонливость (34 ребенка), избыток массы тела (19 детей с SDS ИМТ +1-1,99), снижение успеваемости (15 детей), частые простудные заболевания, ломкость волос и расслоение ногтей (11 детей). К 2025 году клиническая картина существенно изменилась, и количество подобных жалоб значительно уменьшилось. </w:t>
      </w:r>
    </w:p>
    <w:p w14:paraId="4A342E2F" w14:textId="468C4F14" w:rsidR="007A335D" w:rsidRPr="007A335D" w:rsidRDefault="007A335D" w:rsidP="007A335D">
      <w:pPr>
        <w:spacing w:after="0"/>
        <w:ind w:firstLine="851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335D">
        <w:rPr>
          <w:rFonts w:ascii="Times New Roman" w:hAnsi="Times New Roman" w:cs="Times New Roman"/>
          <w:bCs/>
          <w:sz w:val="28"/>
          <w:szCs w:val="28"/>
        </w:rPr>
        <w:t xml:space="preserve">Введение обязательного использования йодированной соли с 2025 года в образовательных и социальных учреждениях способствует решению проблемы </w:t>
      </w:r>
      <w:proofErr w:type="spellStart"/>
      <w:r w:rsidRPr="007A335D">
        <w:rPr>
          <w:rFonts w:ascii="Times New Roman" w:hAnsi="Times New Roman" w:cs="Times New Roman"/>
          <w:bCs/>
          <w:sz w:val="28"/>
          <w:szCs w:val="28"/>
        </w:rPr>
        <w:t>йододефицита</w:t>
      </w:r>
      <w:proofErr w:type="spellEnd"/>
      <w:r w:rsidRPr="007A335D">
        <w:rPr>
          <w:rFonts w:ascii="Times New Roman" w:hAnsi="Times New Roman" w:cs="Times New Roman"/>
          <w:bCs/>
          <w:sz w:val="28"/>
          <w:szCs w:val="28"/>
        </w:rPr>
        <w:t xml:space="preserve"> и улучшению здоровья детского населения. Это подтверждается снижением числа жалоб и улучшением общего состояния детей, что соответствует данным о положительном влиянии йодированной соли на обмен веществ и работу щитовидной железы. Регулярное потребление йодированной соли с 2023 по 2025 год стало ключевым фактором в улучшении здоровья детей, снижении усталости, улучшении успеваемости и уменьшении частоты заболеваний, связанных с недостатком йода в организме.</w:t>
      </w:r>
    </w:p>
    <w:p w14:paraId="3132F096" w14:textId="14653907" w:rsidR="00C3002B" w:rsidRPr="007A335D" w:rsidRDefault="00C3002B" w:rsidP="007A335D">
      <w:pPr>
        <w:spacing w:after="0"/>
        <w:ind w:firstLine="851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335D">
        <w:rPr>
          <w:rFonts w:ascii="Times New Roman" w:hAnsi="Times New Roman" w:cs="Times New Roman"/>
          <w:bCs/>
          <w:sz w:val="28"/>
          <w:szCs w:val="28"/>
        </w:rPr>
        <w:t xml:space="preserve">Для преодоления недостаточности йода в питании используются методы индивидуальной, групповой и массовой йодной профилактики. </w:t>
      </w:r>
    </w:p>
    <w:p w14:paraId="19A3D809" w14:textId="0428C081" w:rsidR="00C3002B" w:rsidRPr="007A335D" w:rsidRDefault="00C3002B" w:rsidP="007A335D">
      <w:pPr>
        <w:spacing w:after="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A335D">
        <w:rPr>
          <w:rFonts w:ascii="Times New Roman" w:hAnsi="Times New Roman" w:cs="Times New Roman"/>
          <w:sz w:val="28"/>
          <w:szCs w:val="28"/>
        </w:rPr>
        <w:t xml:space="preserve">Проводилось индивидуальное консультирование, направленное на повышение информированности о целесообразности использования йодированных продуктов, в первую очередь йодированной соли. Такое </w:t>
      </w:r>
      <w:r w:rsidRPr="007A335D">
        <w:rPr>
          <w:rFonts w:ascii="Times New Roman" w:hAnsi="Times New Roman" w:cs="Times New Roman"/>
          <w:sz w:val="28"/>
          <w:szCs w:val="28"/>
        </w:rPr>
        <w:lastRenderedPageBreak/>
        <w:t>консультирование способствовало формированию правильного потребительского выбора, что является одним из ключевых факторов нормализации йодного статуса у детей.</w:t>
      </w:r>
    </w:p>
    <w:p w14:paraId="2A6DD7ED" w14:textId="77777777" w:rsidR="00C3002B" w:rsidRPr="007A335D" w:rsidRDefault="00C3002B" w:rsidP="007A335D">
      <w:pPr>
        <w:spacing w:after="0"/>
        <w:ind w:firstLine="851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3F3DE6AB" w14:textId="685357A3" w:rsidR="00FF7D69" w:rsidRPr="007A335D" w:rsidRDefault="00FF7D69" w:rsidP="007A335D">
      <w:pPr>
        <w:spacing w:after="0"/>
        <w:ind w:firstLine="851"/>
        <w:jc w:val="right"/>
        <w:rPr>
          <w:rFonts w:ascii="Times New Roman" w:hAnsi="Times New Roman" w:cs="Times New Roman"/>
          <w:sz w:val="28"/>
          <w:szCs w:val="28"/>
        </w:rPr>
      </w:pPr>
      <w:r w:rsidRPr="007A335D">
        <w:rPr>
          <w:rFonts w:ascii="Times New Roman" w:hAnsi="Times New Roman" w:cs="Times New Roman"/>
          <w:sz w:val="28"/>
          <w:szCs w:val="28"/>
        </w:rPr>
        <w:t xml:space="preserve">Рис. </w:t>
      </w:r>
      <w:r w:rsidR="00C23785" w:rsidRPr="007A335D">
        <w:rPr>
          <w:rFonts w:ascii="Times New Roman" w:hAnsi="Times New Roman" w:cs="Times New Roman"/>
          <w:sz w:val="28"/>
          <w:szCs w:val="28"/>
        </w:rPr>
        <w:t>3</w:t>
      </w:r>
      <w:r w:rsidRPr="007A335D">
        <w:rPr>
          <w:rFonts w:ascii="Times New Roman" w:hAnsi="Times New Roman" w:cs="Times New Roman"/>
          <w:sz w:val="28"/>
          <w:szCs w:val="28"/>
        </w:rPr>
        <w:t xml:space="preserve"> Структура использования в питании йодированных продуктов (соль, хлеб</w:t>
      </w:r>
      <w:r w:rsidR="007A335D" w:rsidRPr="007A335D">
        <w:rPr>
          <w:rFonts w:ascii="Times New Roman" w:hAnsi="Times New Roman" w:cs="Times New Roman"/>
          <w:sz w:val="28"/>
          <w:szCs w:val="28"/>
        </w:rPr>
        <w:t>, мягкий сыр, масло подсолнечное</w:t>
      </w:r>
      <w:r w:rsidRPr="007A335D">
        <w:rPr>
          <w:rFonts w:ascii="Times New Roman" w:hAnsi="Times New Roman" w:cs="Times New Roman"/>
          <w:sz w:val="28"/>
          <w:szCs w:val="28"/>
        </w:rPr>
        <w:t>) в группе опекаемых детей по результатам анкетирования в ГАУЗ ТО «Городская поликлиника №8» за 2023-2025гг.</w:t>
      </w:r>
    </w:p>
    <w:p w14:paraId="531D9E1E" w14:textId="07DBB637" w:rsidR="000A0336" w:rsidRPr="007A335D" w:rsidRDefault="000A0336" w:rsidP="007A335D">
      <w:pPr>
        <w:spacing w:after="0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12EA0E09" w14:textId="179CE84E" w:rsidR="00FF7D69" w:rsidRPr="007A335D" w:rsidRDefault="00FF7D69" w:rsidP="007A335D">
      <w:pPr>
        <w:spacing w:after="0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335D">
        <w:rPr>
          <w:rFonts w:ascii="Times New Roman" w:hAnsi="Times New Roman" w:cs="Times New Roman"/>
          <w:bCs/>
          <w:noProof/>
          <w:sz w:val="28"/>
          <w:szCs w:val="28"/>
        </w:rPr>
        <w:drawing>
          <wp:inline distT="0" distB="0" distL="0" distR="0" wp14:anchorId="7988B566" wp14:editId="64552044">
            <wp:extent cx="5842635" cy="1971304"/>
            <wp:effectExtent l="0" t="0" r="5715" b="1016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005BC634" w14:textId="3A44D23C" w:rsidR="00FF7D69" w:rsidRPr="007A335D" w:rsidRDefault="00FF7D69" w:rsidP="007A335D">
      <w:pPr>
        <w:spacing w:after="0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335D">
        <w:rPr>
          <w:rFonts w:ascii="Times New Roman" w:hAnsi="Times New Roman" w:cs="Times New Roman"/>
          <w:bCs/>
          <w:noProof/>
          <w:sz w:val="28"/>
          <w:szCs w:val="28"/>
        </w:rPr>
        <w:drawing>
          <wp:inline distT="0" distB="0" distL="0" distR="0" wp14:anchorId="7D421E09" wp14:editId="2600943F">
            <wp:extent cx="5842635" cy="1947553"/>
            <wp:effectExtent l="0" t="0" r="5715" b="14605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05C54BB3" w14:textId="1685284D" w:rsidR="00FF7D69" w:rsidRPr="007A335D" w:rsidRDefault="0078464B" w:rsidP="007A335D">
      <w:pPr>
        <w:spacing w:after="0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335D">
        <w:rPr>
          <w:rFonts w:ascii="Times New Roman" w:hAnsi="Times New Roman" w:cs="Times New Roman"/>
          <w:bCs/>
          <w:noProof/>
          <w:sz w:val="28"/>
          <w:szCs w:val="28"/>
        </w:rPr>
        <w:drawing>
          <wp:inline distT="0" distB="0" distL="0" distR="0" wp14:anchorId="5A9908F6" wp14:editId="39163460">
            <wp:extent cx="5842635" cy="1900052"/>
            <wp:effectExtent l="0" t="0" r="5715" b="5080"/>
            <wp:docPr id="12" name="Диаграмма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4881AE14" w14:textId="2A0DC698" w:rsidR="0078464B" w:rsidRPr="007A335D" w:rsidRDefault="0078464B" w:rsidP="007A335D">
      <w:pPr>
        <w:spacing w:after="0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6D88846A" w14:textId="62670E05" w:rsidR="0078464B" w:rsidRPr="007A335D" w:rsidRDefault="0078464B" w:rsidP="007A335D">
      <w:pPr>
        <w:spacing w:after="0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335D">
        <w:rPr>
          <w:rFonts w:ascii="Times New Roman" w:hAnsi="Times New Roman" w:cs="Times New Roman"/>
          <w:bCs/>
          <w:sz w:val="28"/>
          <w:szCs w:val="28"/>
        </w:rPr>
        <w:t xml:space="preserve">По результатам анкетирования можно наблюдать рост </w:t>
      </w:r>
      <w:proofErr w:type="spellStart"/>
      <w:r w:rsidRPr="007A335D">
        <w:rPr>
          <w:rFonts w:ascii="Times New Roman" w:hAnsi="Times New Roman" w:cs="Times New Roman"/>
          <w:bCs/>
          <w:sz w:val="28"/>
          <w:szCs w:val="28"/>
        </w:rPr>
        <w:t>комплаентности</w:t>
      </w:r>
      <w:proofErr w:type="spellEnd"/>
      <w:r w:rsidRPr="007A335D">
        <w:rPr>
          <w:rFonts w:ascii="Times New Roman" w:hAnsi="Times New Roman" w:cs="Times New Roman"/>
          <w:bCs/>
          <w:sz w:val="28"/>
          <w:szCs w:val="28"/>
        </w:rPr>
        <w:t xml:space="preserve"> в употреблении в пищу продуктов, обогащенных йодом. </w:t>
      </w:r>
    </w:p>
    <w:p w14:paraId="487E22E7" w14:textId="31446EFF" w:rsidR="0078464B" w:rsidRPr="007A335D" w:rsidRDefault="0078464B" w:rsidP="007A335D">
      <w:pPr>
        <w:spacing w:after="0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335D">
        <w:rPr>
          <w:rFonts w:ascii="Times New Roman" w:hAnsi="Times New Roman" w:cs="Times New Roman"/>
          <w:bCs/>
          <w:sz w:val="28"/>
          <w:szCs w:val="28"/>
        </w:rPr>
        <w:t xml:space="preserve">Ранние результаты (2023г.) свидетельствуют о низкой осведомленности населения о необходимости употребления в пищу йодированных продуктов как важной части профилактики </w:t>
      </w:r>
      <w:proofErr w:type="spellStart"/>
      <w:r w:rsidRPr="007A335D">
        <w:rPr>
          <w:rFonts w:ascii="Times New Roman" w:hAnsi="Times New Roman" w:cs="Times New Roman"/>
          <w:bCs/>
          <w:sz w:val="28"/>
          <w:szCs w:val="28"/>
        </w:rPr>
        <w:t>йоддефицитных</w:t>
      </w:r>
      <w:proofErr w:type="spellEnd"/>
      <w:r w:rsidRPr="007A335D">
        <w:rPr>
          <w:rFonts w:ascii="Times New Roman" w:hAnsi="Times New Roman" w:cs="Times New Roman"/>
          <w:bCs/>
          <w:sz w:val="28"/>
          <w:szCs w:val="28"/>
        </w:rPr>
        <w:t xml:space="preserve"> заболеваний. </w:t>
      </w:r>
    </w:p>
    <w:p w14:paraId="7FB08983" w14:textId="502E23C4" w:rsidR="0078464B" w:rsidRPr="007A335D" w:rsidRDefault="0078464B" w:rsidP="007A335D">
      <w:pPr>
        <w:spacing w:after="0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335D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Таким образом, проведение бесед, выдача памяток показали себя достаточно эффективным методом. </w:t>
      </w:r>
    </w:p>
    <w:p w14:paraId="1B19B204" w14:textId="77777777" w:rsidR="0078464B" w:rsidRPr="007A335D" w:rsidRDefault="0078464B" w:rsidP="007A335D">
      <w:pPr>
        <w:spacing w:after="0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634D7B00" w14:textId="320016F9" w:rsidR="00596B81" w:rsidRPr="007A335D" w:rsidRDefault="00596B81" w:rsidP="007A335D">
      <w:pPr>
        <w:spacing w:after="0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335D">
        <w:rPr>
          <w:rFonts w:ascii="Times New Roman" w:hAnsi="Times New Roman" w:cs="Times New Roman"/>
          <w:bCs/>
          <w:sz w:val="28"/>
          <w:szCs w:val="28"/>
        </w:rPr>
        <w:t>Таким образом, проблему ЙД в Тюменской области невозможно решить, если население не будет систематически принимать йодированную соль или препараты йода.</w:t>
      </w:r>
    </w:p>
    <w:p w14:paraId="610DBD87" w14:textId="77777777" w:rsidR="00596B81" w:rsidRPr="007A335D" w:rsidRDefault="00596B81" w:rsidP="007A335D">
      <w:pPr>
        <w:spacing w:after="0"/>
        <w:ind w:firstLine="851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7CE09705" w14:textId="48822C3E" w:rsidR="00C3002B" w:rsidRPr="007A335D" w:rsidRDefault="00E50DE4" w:rsidP="007A335D">
      <w:pPr>
        <w:spacing w:after="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A335D">
        <w:rPr>
          <w:rFonts w:ascii="Times New Roman" w:hAnsi="Times New Roman" w:cs="Times New Roman"/>
          <w:b/>
          <w:sz w:val="28"/>
          <w:szCs w:val="28"/>
        </w:rPr>
        <w:t xml:space="preserve">Выводы. </w:t>
      </w:r>
      <w:r w:rsidR="00691BFC" w:rsidRPr="007A335D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C23785" w:rsidRPr="007A335D">
        <w:rPr>
          <w:rFonts w:ascii="Times New Roman" w:hAnsi="Times New Roman" w:cs="Times New Roman"/>
          <w:sz w:val="28"/>
          <w:szCs w:val="28"/>
        </w:rPr>
        <w:t xml:space="preserve">Тюменской области </w:t>
      </w:r>
      <w:proofErr w:type="spellStart"/>
      <w:r w:rsidR="00C23785" w:rsidRPr="007A335D">
        <w:rPr>
          <w:rFonts w:ascii="Times New Roman" w:hAnsi="Times New Roman" w:cs="Times New Roman"/>
          <w:sz w:val="28"/>
          <w:szCs w:val="28"/>
        </w:rPr>
        <w:t>йододефицит</w:t>
      </w:r>
      <w:proofErr w:type="spellEnd"/>
      <w:r w:rsidR="00C23785" w:rsidRPr="007A335D">
        <w:rPr>
          <w:rFonts w:ascii="Times New Roman" w:hAnsi="Times New Roman" w:cs="Times New Roman"/>
          <w:sz w:val="28"/>
          <w:szCs w:val="28"/>
        </w:rPr>
        <w:t xml:space="preserve"> у детей был и остается актуальной проблемой, но благодаря системной профилактике и мониторингу ситуация значительно улучшилась, и сейчас уровень йодного обеспечения детей соответствует нормам ВОЗ, хотя требуется дальнейшая работа по повышению информированности населения и увеличению охвата йодированной солью.</w:t>
      </w:r>
    </w:p>
    <w:p w14:paraId="44E8101A" w14:textId="20F6C4DE" w:rsidR="00C23785" w:rsidRDefault="00C23785" w:rsidP="007A335D">
      <w:pPr>
        <w:spacing w:after="0"/>
        <w:ind w:firstLine="851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35EB356B" w14:textId="1B6D0943" w:rsidR="007A335D" w:rsidRDefault="007A335D" w:rsidP="007A335D">
      <w:pPr>
        <w:spacing w:after="0"/>
        <w:ind w:firstLine="851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41091C71" w14:textId="1594F15F" w:rsidR="007A335D" w:rsidRDefault="007A335D" w:rsidP="007A335D">
      <w:pPr>
        <w:spacing w:after="0"/>
        <w:ind w:firstLine="851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0DFC8695" w14:textId="13E81DD9" w:rsidR="007A335D" w:rsidRDefault="007A335D" w:rsidP="007A335D">
      <w:pPr>
        <w:spacing w:after="0"/>
        <w:ind w:firstLine="851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4ACDDBD5" w14:textId="56775797" w:rsidR="00F90C8A" w:rsidRDefault="00F90C8A" w:rsidP="007A335D">
      <w:pPr>
        <w:spacing w:after="0"/>
        <w:ind w:firstLine="851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3B681432" w14:textId="22DBA1ED" w:rsidR="00F90C8A" w:rsidRDefault="00F90C8A" w:rsidP="007A335D">
      <w:pPr>
        <w:spacing w:after="0"/>
        <w:ind w:firstLine="851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5EDFB9D1" w14:textId="47E87405" w:rsidR="00F90C8A" w:rsidRDefault="00F90C8A" w:rsidP="007A335D">
      <w:pPr>
        <w:spacing w:after="0"/>
        <w:ind w:firstLine="851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3BB7CFA4" w14:textId="15A588AB" w:rsidR="00F90C8A" w:rsidRDefault="00F90C8A" w:rsidP="007A335D">
      <w:pPr>
        <w:spacing w:after="0"/>
        <w:ind w:firstLine="851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0A78C38B" w14:textId="55F2608B" w:rsidR="00F90C8A" w:rsidRDefault="00F90C8A" w:rsidP="007A335D">
      <w:pPr>
        <w:spacing w:after="0"/>
        <w:ind w:firstLine="851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4E6EA56A" w14:textId="05CCA316" w:rsidR="00F90C8A" w:rsidRDefault="00F90C8A" w:rsidP="007A335D">
      <w:pPr>
        <w:spacing w:after="0"/>
        <w:ind w:firstLine="851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169932B9" w14:textId="0E3BB1BC" w:rsidR="00F90C8A" w:rsidRDefault="00F90C8A" w:rsidP="007A335D">
      <w:pPr>
        <w:spacing w:after="0"/>
        <w:ind w:firstLine="851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37E9FE38" w14:textId="26CA70C7" w:rsidR="00F90C8A" w:rsidRDefault="00F90C8A" w:rsidP="007A335D">
      <w:pPr>
        <w:spacing w:after="0"/>
        <w:ind w:firstLine="851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3F55523E" w14:textId="77777777" w:rsidR="00F90C8A" w:rsidRPr="007A335D" w:rsidRDefault="00F90C8A" w:rsidP="007A335D">
      <w:pPr>
        <w:spacing w:after="0"/>
        <w:ind w:firstLine="851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41EEAAEB" w14:textId="77777777" w:rsidR="007200B5" w:rsidRPr="007A335D" w:rsidRDefault="007200B5" w:rsidP="007A335D">
      <w:pPr>
        <w:spacing w:after="0"/>
        <w:ind w:firstLine="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335D">
        <w:rPr>
          <w:rFonts w:ascii="Times New Roman" w:hAnsi="Times New Roman" w:cs="Times New Roman"/>
          <w:b/>
          <w:sz w:val="28"/>
          <w:szCs w:val="28"/>
        </w:rPr>
        <w:t>Список литературы</w:t>
      </w:r>
    </w:p>
    <w:p w14:paraId="6311669B" w14:textId="77777777" w:rsidR="00691BFC" w:rsidRPr="007A335D" w:rsidRDefault="001A7918" w:rsidP="007A335D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A335D">
        <w:rPr>
          <w:rFonts w:ascii="Times New Roman" w:hAnsi="Times New Roman" w:cs="Times New Roman"/>
          <w:sz w:val="28"/>
          <w:szCs w:val="28"/>
        </w:rPr>
        <w:t>1</w:t>
      </w:r>
      <w:r w:rsidR="007200B5" w:rsidRPr="007A335D">
        <w:rPr>
          <w:rFonts w:ascii="Times New Roman" w:hAnsi="Times New Roman" w:cs="Times New Roman"/>
          <w:sz w:val="28"/>
          <w:szCs w:val="28"/>
        </w:rPr>
        <w:t xml:space="preserve">. </w:t>
      </w:r>
      <w:r w:rsidR="00691BFC" w:rsidRPr="007A335D">
        <w:rPr>
          <w:rFonts w:ascii="Times New Roman" w:hAnsi="Times New Roman" w:cs="Times New Roman"/>
          <w:sz w:val="28"/>
          <w:szCs w:val="28"/>
        </w:rPr>
        <w:t>Дефицит йода – угроза здоровью и развитию детей России. Пути решения проблемы: нац.</w:t>
      </w:r>
    </w:p>
    <w:p w14:paraId="2D9A3AA7" w14:textId="77777777" w:rsidR="00691BFC" w:rsidRPr="007A335D" w:rsidRDefault="00691BFC" w:rsidP="007A335D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A335D">
        <w:rPr>
          <w:rFonts w:ascii="Times New Roman" w:hAnsi="Times New Roman" w:cs="Times New Roman"/>
          <w:sz w:val="28"/>
          <w:szCs w:val="28"/>
        </w:rPr>
        <w:t xml:space="preserve">доклад / </w:t>
      </w:r>
      <w:r w:rsidRPr="007A335D">
        <w:rPr>
          <w:rFonts w:ascii="Times New Roman" w:hAnsi="Times New Roman" w:cs="Times New Roman"/>
          <w:i/>
          <w:iCs/>
          <w:sz w:val="28"/>
          <w:szCs w:val="28"/>
        </w:rPr>
        <w:t xml:space="preserve">И.И. Дедов, Г.А. Мельниченко, Е.А. Трошина и др. </w:t>
      </w:r>
      <w:r w:rsidRPr="007A335D">
        <w:rPr>
          <w:rFonts w:ascii="Times New Roman" w:hAnsi="Times New Roman" w:cs="Times New Roman"/>
          <w:sz w:val="28"/>
          <w:szCs w:val="28"/>
        </w:rPr>
        <w:t>М.: Детский фонд ООН (ЮНИСЕФ) в РФ,</w:t>
      </w:r>
    </w:p>
    <w:p w14:paraId="7C1FD4DB" w14:textId="10C8DEA7" w:rsidR="00B00782" w:rsidRPr="007A335D" w:rsidRDefault="00691BFC" w:rsidP="007A335D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A335D">
        <w:rPr>
          <w:rFonts w:ascii="Times New Roman" w:hAnsi="Times New Roman" w:cs="Times New Roman"/>
          <w:sz w:val="28"/>
          <w:szCs w:val="28"/>
        </w:rPr>
        <w:t>2006. 124 с.</w:t>
      </w:r>
    </w:p>
    <w:p w14:paraId="50C9442B" w14:textId="77777777" w:rsidR="00691BFC" w:rsidRPr="007A335D" w:rsidRDefault="001A7918" w:rsidP="007A335D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A335D">
        <w:rPr>
          <w:rFonts w:ascii="Times New Roman" w:hAnsi="Times New Roman" w:cs="Times New Roman"/>
          <w:sz w:val="28"/>
          <w:szCs w:val="28"/>
        </w:rPr>
        <w:t xml:space="preserve">2. </w:t>
      </w:r>
      <w:r w:rsidR="00691BFC" w:rsidRPr="007A335D">
        <w:rPr>
          <w:rFonts w:ascii="Times New Roman" w:hAnsi="Times New Roman" w:cs="Times New Roman"/>
          <w:i/>
          <w:iCs/>
          <w:sz w:val="28"/>
          <w:szCs w:val="28"/>
        </w:rPr>
        <w:t xml:space="preserve">Герасимов Г. </w:t>
      </w:r>
      <w:r w:rsidR="00691BFC" w:rsidRPr="007A335D">
        <w:rPr>
          <w:rFonts w:ascii="Times New Roman" w:hAnsi="Times New Roman" w:cs="Times New Roman"/>
          <w:sz w:val="28"/>
          <w:szCs w:val="28"/>
        </w:rPr>
        <w:t>Йододефицитные заболевания в Российской Федерации: политика в области</w:t>
      </w:r>
    </w:p>
    <w:p w14:paraId="671759DD" w14:textId="60560412" w:rsidR="00B00782" w:rsidRPr="007A335D" w:rsidRDefault="00691BFC" w:rsidP="007A335D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A335D">
        <w:rPr>
          <w:rFonts w:ascii="Times New Roman" w:hAnsi="Times New Roman" w:cs="Times New Roman"/>
          <w:sz w:val="28"/>
          <w:szCs w:val="28"/>
        </w:rPr>
        <w:t>профилактики и тенденции в эпидемиологической ситуации (1950–2002). М.: Медицина, 2003. 50 с.</w:t>
      </w:r>
    </w:p>
    <w:p w14:paraId="5EE70A0B" w14:textId="17800E32" w:rsidR="007A335D" w:rsidRPr="007A335D" w:rsidRDefault="007A335D" w:rsidP="007A335D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A335D">
        <w:rPr>
          <w:rFonts w:ascii="Times New Roman" w:hAnsi="Times New Roman" w:cs="Times New Roman"/>
          <w:sz w:val="28"/>
          <w:szCs w:val="28"/>
        </w:rPr>
        <w:t xml:space="preserve">3. Свиридонова Н. В. «Дефицит йода, формирование и развитие организма» — статья о влиянии </w:t>
      </w:r>
      <w:proofErr w:type="spellStart"/>
      <w:r w:rsidRPr="007A335D">
        <w:rPr>
          <w:rFonts w:ascii="Times New Roman" w:hAnsi="Times New Roman" w:cs="Times New Roman"/>
          <w:sz w:val="28"/>
          <w:szCs w:val="28"/>
        </w:rPr>
        <w:t>йоддефицита</w:t>
      </w:r>
      <w:proofErr w:type="spellEnd"/>
      <w:r w:rsidRPr="007A335D">
        <w:rPr>
          <w:rFonts w:ascii="Times New Roman" w:hAnsi="Times New Roman" w:cs="Times New Roman"/>
          <w:sz w:val="28"/>
          <w:szCs w:val="28"/>
        </w:rPr>
        <w:t xml:space="preserve"> на внутриутробное развитие и здоровье детей</w:t>
      </w:r>
    </w:p>
    <w:p w14:paraId="3538D50E" w14:textId="602A01D6" w:rsidR="007A335D" w:rsidRPr="007A335D" w:rsidRDefault="007A335D" w:rsidP="007A335D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0972F97" w14:textId="030990B2" w:rsidR="007A335D" w:rsidRDefault="007A335D" w:rsidP="000C2B80">
      <w:pPr>
        <w:spacing w:after="0" w:line="240" w:lineRule="auto"/>
        <w:contextualSpacing/>
        <w:jc w:val="both"/>
        <w:rPr>
          <w:rFonts w:ascii="Segoe UI" w:hAnsi="Segoe UI" w:cs="Segoe UI"/>
        </w:rPr>
      </w:pPr>
    </w:p>
    <w:p w14:paraId="5048C2EE" w14:textId="1D37CB25" w:rsidR="0006232B" w:rsidRDefault="0006232B" w:rsidP="0006232B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14:paraId="00791DEA" w14:textId="417D5AD2" w:rsidR="003576DF" w:rsidRDefault="003576DF" w:rsidP="0006232B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14:paraId="11302F01" w14:textId="01ADC81C" w:rsidR="003576DF" w:rsidRPr="00E01E1D" w:rsidRDefault="003576DF" w:rsidP="0006232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3576DF" w:rsidRPr="00E01E1D" w:rsidSect="00C3002B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Linotype-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712C"/>
    <w:multiLevelType w:val="multilevel"/>
    <w:tmpl w:val="FF2859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B7A5050"/>
    <w:multiLevelType w:val="hybridMultilevel"/>
    <w:tmpl w:val="B3020792"/>
    <w:lvl w:ilvl="0" w:tplc="A64AE7AE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481AB5"/>
    <w:multiLevelType w:val="hybridMultilevel"/>
    <w:tmpl w:val="F9B8B99A"/>
    <w:lvl w:ilvl="0" w:tplc="C4BAC5B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7B7DD8"/>
    <w:multiLevelType w:val="hybridMultilevel"/>
    <w:tmpl w:val="DE0278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7BFA"/>
    <w:rsid w:val="00011E78"/>
    <w:rsid w:val="0001754E"/>
    <w:rsid w:val="00022904"/>
    <w:rsid w:val="0006232B"/>
    <w:rsid w:val="00071161"/>
    <w:rsid w:val="00087BFA"/>
    <w:rsid w:val="00092B81"/>
    <w:rsid w:val="000971F1"/>
    <w:rsid w:val="000A0336"/>
    <w:rsid w:val="000B5444"/>
    <w:rsid w:val="000C2B80"/>
    <w:rsid w:val="000D6757"/>
    <w:rsid w:val="000E2A65"/>
    <w:rsid w:val="000F45ED"/>
    <w:rsid w:val="000F6201"/>
    <w:rsid w:val="000F7D6A"/>
    <w:rsid w:val="0010381E"/>
    <w:rsid w:val="00126AAB"/>
    <w:rsid w:val="001321E6"/>
    <w:rsid w:val="0013688E"/>
    <w:rsid w:val="00144B7D"/>
    <w:rsid w:val="00160833"/>
    <w:rsid w:val="001914EC"/>
    <w:rsid w:val="001A7918"/>
    <w:rsid w:val="001D18A5"/>
    <w:rsid w:val="00263D3E"/>
    <w:rsid w:val="002642E4"/>
    <w:rsid w:val="00271DB2"/>
    <w:rsid w:val="00271F71"/>
    <w:rsid w:val="0027618B"/>
    <w:rsid w:val="00281130"/>
    <w:rsid w:val="00284FD7"/>
    <w:rsid w:val="002A4764"/>
    <w:rsid w:val="002A4D6C"/>
    <w:rsid w:val="002A50DE"/>
    <w:rsid w:val="002B3248"/>
    <w:rsid w:val="003233BA"/>
    <w:rsid w:val="003433A8"/>
    <w:rsid w:val="003576DF"/>
    <w:rsid w:val="003700DE"/>
    <w:rsid w:val="003B0166"/>
    <w:rsid w:val="003B7F72"/>
    <w:rsid w:val="003C4A88"/>
    <w:rsid w:val="003D2DCA"/>
    <w:rsid w:val="004054F2"/>
    <w:rsid w:val="00415F42"/>
    <w:rsid w:val="00432905"/>
    <w:rsid w:val="004375E8"/>
    <w:rsid w:val="0047157E"/>
    <w:rsid w:val="004B6288"/>
    <w:rsid w:val="004C17BB"/>
    <w:rsid w:val="004E70B9"/>
    <w:rsid w:val="004F5A0B"/>
    <w:rsid w:val="00510007"/>
    <w:rsid w:val="00523163"/>
    <w:rsid w:val="00533FCB"/>
    <w:rsid w:val="00545073"/>
    <w:rsid w:val="005463B7"/>
    <w:rsid w:val="00556AF3"/>
    <w:rsid w:val="00570105"/>
    <w:rsid w:val="0058548A"/>
    <w:rsid w:val="00596B81"/>
    <w:rsid w:val="005B105B"/>
    <w:rsid w:val="005B5B3F"/>
    <w:rsid w:val="005D33EA"/>
    <w:rsid w:val="00606157"/>
    <w:rsid w:val="006129D5"/>
    <w:rsid w:val="00636D37"/>
    <w:rsid w:val="006434B1"/>
    <w:rsid w:val="00650591"/>
    <w:rsid w:val="00653C09"/>
    <w:rsid w:val="00686F39"/>
    <w:rsid w:val="00691BFC"/>
    <w:rsid w:val="006C3BE3"/>
    <w:rsid w:val="006C3E6F"/>
    <w:rsid w:val="006E756E"/>
    <w:rsid w:val="00701A0A"/>
    <w:rsid w:val="00713F4D"/>
    <w:rsid w:val="007200B5"/>
    <w:rsid w:val="00737AE5"/>
    <w:rsid w:val="0074526B"/>
    <w:rsid w:val="00757253"/>
    <w:rsid w:val="00761031"/>
    <w:rsid w:val="00761CA2"/>
    <w:rsid w:val="0078464B"/>
    <w:rsid w:val="00784FD1"/>
    <w:rsid w:val="00786FF1"/>
    <w:rsid w:val="007924D0"/>
    <w:rsid w:val="007A09F1"/>
    <w:rsid w:val="007A335D"/>
    <w:rsid w:val="007D195C"/>
    <w:rsid w:val="007D5B4E"/>
    <w:rsid w:val="007E511C"/>
    <w:rsid w:val="007F0F9E"/>
    <w:rsid w:val="0080046B"/>
    <w:rsid w:val="008336F8"/>
    <w:rsid w:val="00836104"/>
    <w:rsid w:val="008372C6"/>
    <w:rsid w:val="00876BF2"/>
    <w:rsid w:val="0088001A"/>
    <w:rsid w:val="0088397A"/>
    <w:rsid w:val="00890207"/>
    <w:rsid w:val="008923E6"/>
    <w:rsid w:val="00896D7C"/>
    <w:rsid w:val="008B15CD"/>
    <w:rsid w:val="008C6127"/>
    <w:rsid w:val="008D239E"/>
    <w:rsid w:val="008F6B01"/>
    <w:rsid w:val="00912008"/>
    <w:rsid w:val="009150A1"/>
    <w:rsid w:val="00915C00"/>
    <w:rsid w:val="009266AB"/>
    <w:rsid w:val="00945223"/>
    <w:rsid w:val="00945B16"/>
    <w:rsid w:val="00954EA4"/>
    <w:rsid w:val="00955D7E"/>
    <w:rsid w:val="0099210A"/>
    <w:rsid w:val="00994432"/>
    <w:rsid w:val="009D5258"/>
    <w:rsid w:val="009D74AA"/>
    <w:rsid w:val="00A26F25"/>
    <w:rsid w:val="00A62D41"/>
    <w:rsid w:val="00A950F7"/>
    <w:rsid w:val="00AB3B5B"/>
    <w:rsid w:val="00AD0D86"/>
    <w:rsid w:val="00AE1C4E"/>
    <w:rsid w:val="00AF6DD5"/>
    <w:rsid w:val="00B00782"/>
    <w:rsid w:val="00B14459"/>
    <w:rsid w:val="00B6502E"/>
    <w:rsid w:val="00B80D0E"/>
    <w:rsid w:val="00B8495D"/>
    <w:rsid w:val="00B90212"/>
    <w:rsid w:val="00B93420"/>
    <w:rsid w:val="00BA65A0"/>
    <w:rsid w:val="00BB7F97"/>
    <w:rsid w:val="00C022E4"/>
    <w:rsid w:val="00C14749"/>
    <w:rsid w:val="00C23785"/>
    <w:rsid w:val="00C3002B"/>
    <w:rsid w:val="00C370E0"/>
    <w:rsid w:val="00C810A0"/>
    <w:rsid w:val="00CC73C1"/>
    <w:rsid w:val="00CD4D26"/>
    <w:rsid w:val="00CE3BFA"/>
    <w:rsid w:val="00CF2C5A"/>
    <w:rsid w:val="00D113D6"/>
    <w:rsid w:val="00D15FF7"/>
    <w:rsid w:val="00D221AB"/>
    <w:rsid w:val="00D60B5C"/>
    <w:rsid w:val="00D659A9"/>
    <w:rsid w:val="00D774F5"/>
    <w:rsid w:val="00D80D7C"/>
    <w:rsid w:val="00D93341"/>
    <w:rsid w:val="00D96AC7"/>
    <w:rsid w:val="00DA0D71"/>
    <w:rsid w:val="00DA1283"/>
    <w:rsid w:val="00DA3FC9"/>
    <w:rsid w:val="00DA6197"/>
    <w:rsid w:val="00DC722B"/>
    <w:rsid w:val="00DE5683"/>
    <w:rsid w:val="00DF2EB7"/>
    <w:rsid w:val="00E01E1D"/>
    <w:rsid w:val="00E1255F"/>
    <w:rsid w:val="00E15829"/>
    <w:rsid w:val="00E50DE4"/>
    <w:rsid w:val="00E67461"/>
    <w:rsid w:val="00E7632E"/>
    <w:rsid w:val="00E8580A"/>
    <w:rsid w:val="00E952C8"/>
    <w:rsid w:val="00EA18C3"/>
    <w:rsid w:val="00EA396D"/>
    <w:rsid w:val="00EA7BAD"/>
    <w:rsid w:val="00EB51DC"/>
    <w:rsid w:val="00ED625C"/>
    <w:rsid w:val="00EE71BE"/>
    <w:rsid w:val="00EE79E2"/>
    <w:rsid w:val="00EE7BD3"/>
    <w:rsid w:val="00EF27F8"/>
    <w:rsid w:val="00EF5910"/>
    <w:rsid w:val="00F15197"/>
    <w:rsid w:val="00F345CA"/>
    <w:rsid w:val="00F44111"/>
    <w:rsid w:val="00F46DE1"/>
    <w:rsid w:val="00F56AE5"/>
    <w:rsid w:val="00F673B2"/>
    <w:rsid w:val="00F77C4B"/>
    <w:rsid w:val="00F81AF8"/>
    <w:rsid w:val="00F90B1E"/>
    <w:rsid w:val="00F90C8A"/>
    <w:rsid w:val="00FA00D8"/>
    <w:rsid w:val="00FA27C3"/>
    <w:rsid w:val="00FB368D"/>
    <w:rsid w:val="00FD6C99"/>
    <w:rsid w:val="00FE1B84"/>
    <w:rsid w:val="00FF3157"/>
    <w:rsid w:val="00FF35B6"/>
    <w:rsid w:val="00FF7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FD9C5"/>
  <w15:docId w15:val="{E9D86B9A-A8BF-4848-84B7-4EF4295FD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45B1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4D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4D2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A00D8"/>
    <w:pPr>
      <w:ind w:left="720"/>
      <w:contextualSpacing/>
    </w:pPr>
  </w:style>
  <w:style w:type="paragraph" w:styleId="a6">
    <w:name w:val="No Spacing"/>
    <w:uiPriority w:val="1"/>
    <w:qFormat/>
    <w:rsid w:val="00945B16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945B1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my-0">
    <w:name w:val="my-0"/>
    <w:basedOn w:val="a"/>
    <w:rsid w:val="00C237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hitespace-nowrap">
    <w:name w:val="whitespace-nowrap"/>
    <w:basedOn w:val="a0"/>
    <w:rsid w:val="00C23785"/>
  </w:style>
  <w:style w:type="character" w:customStyle="1" w:styleId="hoverbg-super">
    <w:name w:val="hover:bg-super"/>
    <w:basedOn w:val="a0"/>
    <w:rsid w:val="00C237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621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5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4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3.xml"/><Relationship Id="rId12" Type="http://schemas.openxmlformats.org/officeDocument/2006/relationships/chart" Target="charts/chart8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2.xml"/><Relationship Id="rId11" Type="http://schemas.openxmlformats.org/officeDocument/2006/relationships/chart" Target="charts/chart7.xml"/><Relationship Id="rId5" Type="http://schemas.openxmlformats.org/officeDocument/2006/relationships/chart" Target="charts/chart1.xml"/><Relationship Id="rId10" Type="http://schemas.openxmlformats.org/officeDocument/2006/relationships/chart" Target="charts/chart6.xml"/><Relationship Id="rId4" Type="http://schemas.openxmlformats.org/officeDocument/2006/relationships/webSettings" Target="webSettings.xml"/><Relationship Id="rId9" Type="http://schemas.openxmlformats.org/officeDocument/2006/relationships/chart" Target="charts/chart5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2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3.xlsx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4.xlsx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5.xlsx"/><Relationship Id="rId2" Type="http://schemas.microsoft.com/office/2011/relationships/chartColorStyle" Target="colors6.xml"/><Relationship Id="rId1" Type="http://schemas.microsoft.com/office/2011/relationships/chartStyle" Target="style6.xml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6.xlsx"/><Relationship Id="rId2" Type="http://schemas.microsoft.com/office/2011/relationships/chartColorStyle" Target="colors7.xml"/><Relationship Id="rId1" Type="http://schemas.microsoft.com/office/2011/relationships/chartStyle" Target="style7.xml"/></Relationships>
</file>

<file path=word/charts/_rels/chart8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7.xlsx"/><Relationship Id="rId2" Type="http://schemas.microsoft.com/office/2011/relationships/chartColorStyle" Target="colors8.xml"/><Relationship Id="rId1" Type="http://schemas.microsoft.com/office/2011/relationships/chartStyle" Target="style8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cap="none" spc="20" baseline="0">
                <a:solidFill>
                  <a:schemeClr val="tx1">
                    <a:lumMod val="50000"/>
                    <a:lumOff val="50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Структура группы опекаемых детей в ГАУЗ ТО "Городская поликлиника №8"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cap="none" spc="20" baseline="0">
              <a:solidFill>
                <a:schemeClr val="tx1">
                  <a:lumMod val="50000"/>
                  <a:lumOff val="50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doughnut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Pt>
            <c:idx val="0"/>
            <c:bubble3D val="0"/>
            <c:spPr>
              <a:gradFill rotWithShape="1">
                <a:gsLst>
                  <a:gs pos="0">
                    <a:schemeClr val="accent1">
                      <a:tint val="50000"/>
                      <a:satMod val="300000"/>
                    </a:schemeClr>
                  </a:gs>
                  <a:gs pos="35000">
                    <a:schemeClr val="accent1">
                      <a:tint val="37000"/>
                      <a:satMod val="300000"/>
                    </a:schemeClr>
                  </a:gs>
                  <a:gs pos="100000">
                    <a:schemeClr val="accent1">
                      <a:tint val="15000"/>
                      <a:satMod val="350000"/>
                    </a:schemeClr>
                  </a:gs>
                </a:gsLst>
                <a:lin ang="16200000" scaled="1"/>
              </a:gradFill>
              <a:ln w="9525" cap="flat" cmpd="sng" algn="ctr">
                <a:solidFill>
                  <a:schemeClr val="accent1">
                    <a:shade val="95000"/>
                  </a:schemeClr>
                </a:solidFill>
                <a:round/>
              </a:ln>
              <a:effectLst>
                <a:outerShdw blurRad="40000" dist="20000" dir="5400000" rotWithShape="0">
                  <a:srgbClr val="000000">
                    <a:alpha val="38000"/>
                  </a:srgb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1-E596-4983-A894-43CD779723EE}"/>
              </c:ext>
            </c:extLst>
          </c:dPt>
          <c:dPt>
            <c:idx val="1"/>
            <c:bubble3D val="0"/>
            <c:spPr>
              <a:gradFill rotWithShape="1">
                <a:gsLst>
                  <a:gs pos="0">
                    <a:schemeClr val="accent2">
                      <a:tint val="50000"/>
                      <a:satMod val="300000"/>
                    </a:schemeClr>
                  </a:gs>
                  <a:gs pos="35000">
                    <a:schemeClr val="accent2">
                      <a:tint val="37000"/>
                      <a:satMod val="300000"/>
                    </a:schemeClr>
                  </a:gs>
                  <a:gs pos="100000">
                    <a:schemeClr val="accent2">
                      <a:tint val="15000"/>
                      <a:satMod val="350000"/>
                    </a:schemeClr>
                  </a:gs>
                </a:gsLst>
                <a:lin ang="16200000" scaled="1"/>
              </a:gradFill>
              <a:ln w="9525" cap="flat" cmpd="sng" algn="ctr">
                <a:solidFill>
                  <a:schemeClr val="accent2">
                    <a:shade val="95000"/>
                  </a:schemeClr>
                </a:solidFill>
                <a:round/>
              </a:ln>
              <a:effectLst>
                <a:outerShdw blurRad="40000" dist="20000" dir="5400000" rotWithShape="0">
                  <a:srgbClr val="000000">
                    <a:alpha val="38000"/>
                  </a:srgb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3-E596-4983-A894-43CD779723EE}"/>
              </c:ext>
            </c:extLst>
          </c:dPt>
          <c:dPt>
            <c:idx val="2"/>
            <c:bubble3D val="0"/>
            <c:spPr>
              <a:gradFill rotWithShape="1">
                <a:gsLst>
                  <a:gs pos="0">
                    <a:schemeClr val="accent3">
                      <a:tint val="50000"/>
                      <a:satMod val="300000"/>
                    </a:schemeClr>
                  </a:gs>
                  <a:gs pos="35000">
                    <a:schemeClr val="accent3">
                      <a:tint val="37000"/>
                      <a:satMod val="300000"/>
                    </a:schemeClr>
                  </a:gs>
                  <a:gs pos="100000">
                    <a:schemeClr val="accent3">
                      <a:tint val="15000"/>
                      <a:satMod val="350000"/>
                    </a:schemeClr>
                  </a:gs>
                </a:gsLst>
                <a:lin ang="16200000" scaled="1"/>
              </a:gradFill>
              <a:ln w="9525" cap="flat" cmpd="sng" algn="ctr">
                <a:solidFill>
                  <a:schemeClr val="accent3">
                    <a:shade val="95000"/>
                  </a:schemeClr>
                </a:solidFill>
                <a:round/>
              </a:ln>
              <a:effectLst>
                <a:outerShdw blurRad="40000" dist="20000" dir="5400000" rotWithShape="0">
                  <a:srgbClr val="000000">
                    <a:alpha val="38000"/>
                  </a:srgb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5-E596-4983-A894-43CD779723EE}"/>
              </c:ext>
            </c:extLst>
          </c:dPt>
          <c:dPt>
            <c:idx val="3"/>
            <c:bubble3D val="0"/>
            <c:spPr>
              <a:gradFill rotWithShape="1">
                <a:gsLst>
                  <a:gs pos="0">
                    <a:schemeClr val="accent4">
                      <a:tint val="50000"/>
                      <a:satMod val="300000"/>
                    </a:schemeClr>
                  </a:gs>
                  <a:gs pos="35000">
                    <a:schemeClr val="accent4">
                      <a:tint val="37000"/>
                      <a:satMod val="300000"/>
                    </a:schemeClr>
                  </a:gs>
                  <a:gs pos="100000">
                    <a:schemeClr val="accent4">
                      <a:tint val="15000"/>
                      <a:satMod val="350000"/>
                    </a:schemeClr>
                  </a:gs>
                </a:gsLst>
                <a:lin ang="16200000" scaled="1"/>
              </a:gradFill>
              <a:ln w="9525" cap="flat" cmpd="sng" algn="ctr">
                <a:solidFill>
                  <a:schemeClr val="accent4">
                    <a:shade val="95000"/>
                  </a:schemeClr>
                </a:solidFill>
                <a:round/>
              </a:ln>
              <a:effectLst>
                <a:outerShdw blurRad="40000" dist="20000" dir="5400000" rotWithShape="0">
                  <a:srgbClr val="000000">
                    <a:alpha val="38000"/>
                  </a:srgb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7-E596-4983-A894-43CD779723EE}"/>
              </c:ext>
            </c:extLst>
          </c:dPt>
          <c:dPt>
            <c:idx val="4"/>
            <c:bubble3D val="0"/>
            <c:spPr>
              <a:gradFill rotWithShape="1">
                <a:gsLst>
                  <a:gs pos="0">
                    <a:schemeClr val="accent5">
                      <a:tint val="50000"/>
                      <a:satMod val="300000"/>
                    </a:schemeClr>
                  </a:gs>
                  <a:gs pos="35000">
                    <a:schemeClr val="accent5">
                      <a:tint val="37000"/>
                      <a:satMod val="300000"/>
                    </a:schemeClr>
                  </a:gs>
                  <a:gs pos="100000">
                    <a:schemeClr val="accent5">
                      <a:tint val="15000"/>
                      <a:satMod val="350000"/>
                    </a:schemeClr>
                  </a:gs>
                </a:gsLst>
                <a:lin ang="16200000" scaled="1"/>
              </a:gradFill>
              <a:ln w="9525" cap="flat" cmpd="sng" algn="ctr">
                <a:solidFill>
                  <a:schemeClr val="accent5">
                    <a:shade val="95000"/>
                  </a:schemeClr>
                </a:solidFill>
                <a:round/>
              </a:ln>
              <a:effectLst>
                <a:outerShdw blurRad="40000" dist="20000" dir="5400000" rotWithShape="0">
                  <a:srgbClr val="000000">
                    <a:alpha val="38000"/>
                  </a:srgb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9-E596-4983-A894-43CD779723EE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tx1">
                      <a:lumMod val="35000"/>
                      <a:lumOff val="65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Лист1!$A$2:$A$6</c:f>
              <c:strCache>
                <c:ptCount val="5"/>
                <c:pt idx="0">
                  <c:v>0-5 лет</c:v>
                </c:pt>
                <c:pt idx="1">
                  <c:v>5-7 лет</c:v>
                </c:pt>
                <c:pt idx="2">
                  <c:v>8-10 лет</c:v>
                </c:pt>
                <c:pt idx="3">
                  <c:v>10-14 лет</c:v>
                </c:pt>
                <c:pt idx="4">
                  <c:v>15-17 лет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7</c:v>
                </c:pt>
                <c:pt idx="1">
                  <c:v>12</c:v>
                </c:pt>
                <c:pt idx="2">
                  <c:v>37</c:v>
                </c:pt>
                <c:pt idx="3">
                  <c:v>48</c:v>
                </c:pt>
                <c:pt idx="4">
                  <c:v>76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5770-49FF-B214-2B5542AF45EB}"/>
            </c:ext>
          </c:extLst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  <c:holeSize val="75"/>
      </c:doughnut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50000"/>
                  <a:lumOff val="50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2023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Лист1!$A$2:$A$7</c:f>
              <c:strCache>
                <c:ptCount val="6"/>
                <c:pt idx="0">
                  <c:v>Степень 0 </c:v>
                </c:pt>
                <c:pt idx="1">
                  <c:v>Степень 1</c:v>
                </c:pt>
                <c:pt idx="2">
                  <c:v>Степень 2</c:v>
                </c:pt>
                <c:pt idx="3">
                  <c:v>Степень 3</c:v>
                </c:pt>
                <c:pt idx="4">
                  <c:v>Степень 4</c:v>
                </c:pt>
                <c:pt idx="5">
                  <c:v>Степень 5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64</c:v>
                </c:pt>
                <c:pt idx="1">
                  <c:v>16</c:v>
                </c:pt>
                <c:pt idx="2">
                  <c:v>7</c:v>
                </c:pt>
                <c:pt idx="3">
                  <c:v>2</c:v>
                </c:pt>
                <c:pt idx="4">
                  <c:v>1</c:v>
                </c:pt>
                <c:pt idx="5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1A66-4D3C-AB1B-16F58B23B5C3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2024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Лист1!$A$2:$A$7</c:f>
              <c:strCache>
                <c:ptCount val="6"/>
                <c:pt idx="0">
                  <c:v>Степень 0 </c:v>
                </c:pt>
                <c:pt idx="1">
                  <c:v>Степень 1</c:v>
                </c:pt>
                <c:pt idx="2">
                  <c:v>Степень 2</c:v>
                </c:pt>
                <c:pt idx="3">
                  <c:v>Степень 3</c:v>
                </c:pt>
                <c:pt idx="4">
                  <c:v>Степень 4</c:v>
                </c:pt>
                <c:pt idx="5">
                  <c:v>Степень 5</c:v>
                </c:pt>
              </c:strCache>
            </c:strRef>
          </c:cat>
          <c:val>
            <c:numRef>
              <c:f>Лист1!$C$2:$C$7</c:f>
              <c:numCache>
                <c:formatCode>General</c:formatCode>
                <c:ptCount val="6"/>
                <c:pt idx="0">
                  <c:v>67</c:v>
                </c:pt>
                <c:pt idx="1">
                  <c:v>15</c:v>
                </c:pt>
                <c:pt idx="2">
                  <c:v>6</c:v>
                </c:pt>
                <c:pt idx="3">
                  <c:v>2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1A66-4D3C-AB1B-16F58B23B5C3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2025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Лист1!$A$2:$A$7</c:f>
              <c:strCache>
                <c:ptCount val="6"/>
                <c:pt idx="0">
                  <c:v>Степень 0 </c:v>
                </c:pt>
                <c:pt idx="1">
                  <c:v>Степень 1</c:v>
                </c:pt>
                <c:pt idx="2">
                  <c:v>Степень 2</c:v>
                </c:pt>
                <c:pt idx="3">
                  <c:v>Степень 3</c:v>
                </c:pt>
                <c:pt idx="4">
                  <c:v>Степень 4</c:v>
                </c:pt>
                <c:pt idx="5">
                  <c:v>Степень 5</c:v>
                </c:pt>
              </c:strCache>
            </c:strRef>
          </c:cat>
          <c:val>
            <c:numRef>
              <c:f>Лист1!$D$2:$D$7</c:f>
              <c:numCache>
                <c:formatCode>General</c:formatCode>
                <c:ptCount val="6"/>
                <c:pt idx="0">
                  <c:v>71</c:v>
                </c:pt>
                <c:pt idx="1">
                  <c:v>13</c:v>
                </c:pt>
                <c:pt idx="2">
                  <c:v>5</c:v>
                </c:pt>
                <c:pt idx="3">
                  <c:v>1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1A66-4D3C-AB1B-16F58B23B5C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601938088"/>
        <c:axId val="601934808"/>
      </c:barChart>
      <c:catAx>
        <c:axId val="60193808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601934808"/>
        <c:crosses val="autoZero"/>
        <c:auto val="1"/>
        <c:lblAlgn val="ctr"/>
        <c:lblOffset val="100"/>
        <c:noMultiLvlLbl val="0"/>
      </c:catAx>
      <c:valAx>
        <c:axId val="60193480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60193808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2023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>
        <c:manualLayout>
          <c:layoutTarget val="inner"/>
          <c:xMode val="edge"/>
          <c:yMode val="edge"/>
          <c:x val="4.0782418020532243E-2"/>
          <c:y val="0.17315072246123875"/>
          <c:w val="0.2292615336061237"/>
          <c:h val="0.55535809192075292"/>
        </c:manualLayout>
      </c:layout>
      <c:doughnut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Количество детей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829C-4514-9927-3B038DA6F4A3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829C-4514-9927-3B038DA6F4A3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829C-4514-9927-3B038DA6F4A3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829C-4514-9927-3B038DA6F4A3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9-829C-4514-9927-3B038DA6F4A3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B-829C-4514-9927-3B038DA6F4A3}"/>
              </c:ext>
            </c:extLst>
          </c:dPt>
          <c:cat>
            <c:strRef>
              <c:f>Лист1!$A$2:$A$6</c:f>
              <c:strCache>
                <c:ptCount val="5"/>
                <c:pt idx="0">
                  <c:v>Вялость, сонливость, усталость</c:v>
                </c:pt>
                <c:pt idx="1">
                  <c:v>Снижение успеваемости в школе</c:v>
                </c:pt>
                <c:pt idx="2">
                  <c:v>Ломкость волос, ухудшение качества ногтевой пластины</c:v>
                </c:pt>
                <c:pt idx="3">
                  <c:v>Избыток веса</c:v>
                </c:pt>
                <c:pt idx="4">
                  <c:v>Увеличение частоты ОРИ за календарный год</c:v>
                </c:pt>
              </c:strCache>
            </c:strRef>
          </c:cat>
          <c:val>
            <c:numRef>
              <c:f>Лист1!$B$2:$B$7</c:f>
              <c:numCache>
                <c:formatCode>0.00%</c:formatCode>
                <c:ptCount val="6"/>
                <c:pt idx="0">
                  <c:v>0.377</c:v>
                </c:pt>
                <c:pt idx="1">
                  <c:v>0.16600000000000001</c:v>
                </c:pt>
                <c:pt idx="2">
                  <c:v>0.122</c:v>
                </c:pt>
                <c:pt idx="3">
                  <c:v>0.21099999999999999</c:v>
                </c:pt>
                <c:pt idx="4">
                  <c:v>0.122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36A-46B0-9248-36BFA3F0630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  <c:holeSize val="75"/>
      </c:doughnutChart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46327938174394878"/>
          <c:y val="0.21130671166104237"/>
          <c:w val="0.48043572876175289"/>
          <c:h val="0.55398122026190577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2024</a:t>
            </a:r>
          </a:p>
        </c:rich>
      </c:tx>
      <c:layout>
        <c:manualLayout>
          <c:xMode val="edge"/>
          <c:yMode val="edge"/>
          <c:x val="0.46373417721518989"/>
          <c:y val="4.0106951871657755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>
        <c:manualLayout>
          <c:layoutTarget val="inner"/>
          <c:xMode val="edge"/>
          <c:yMode val="edge"/>
          <c:x val="4.0782418020532243E-2"/>
          <c:y val="0.17315072246123875"/>
          <c:w val="0.2292615336061237"/>
          <c:h val="0.55535809192075292"/>
        </c:manualLayout>
      </c:layout>
      <c:doughnut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Количество детей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3A99-4808-A103-05BB0CB2C691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3A99-4808-A103-05BB0CB2C691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3A99-4808-A103-05BB0CB2C691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3A99-4808-A103-05BB0CB2C691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9-3A99-4808-A103-05BB0CB2C691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B-3A99-4808-A103-05BB0CB2C691}"/>
              </c:ext>
            </c:extLst>
          </c:dPt>
          <c:cat>
            <c:strRef>
              <c:f>Лист1!$A$2:$A$7</c:f>
              <c:strCache>
                <c:ptCount val="5"/>
                <c:pt idx="0">
                  <c:v>Вялость, сонливость, усталость</c:v>
                </c:pt>
                <c:pt idx="1">
                  <c:v>Снижение успеваемости в школе</c:v>
                </c:pt>
                <c:pt idx="2">
                  <c:v>Ломкость волос, ухудшение качества ногтевой пластины</c:v>
                </c:pt>
                <c:pt idx="3">
                  <c:v>Избыток веса</c:v>
                </c:pt>
                <c:pt idx="4">
                  <c:v>Увеличение частоты ОРИ за календарный год</c:v>
                </c:pt>
              </c:strCache>
            </c:strRef>
          </c:cat>
          <c:val>
            <c:numRef>
              <c:f>Лист1!$B$2:$B$7</c:f>
              <c:numCache>
                <c:formatCode>0.00%</c:formatCode>
                <c:ptCount val="6"/>
                <c:pt idx="0">
                  <c:v>0.21099999999999999</c:v>
                </c:pt>
                <c:pt idx="1">
                  <c:v>0.1</c:v>
                </c:pt>
                <c:pt idx="2">
                  <c:v>5.5E-2</c:v>
                </c:pt>
                <c:pt idx="3">
                  <c:v>0.122</c:v>
                </c:pt>
                <c:pt idx="4">
                  <c:v>6.6000000000000003E-2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C-3A99-4808-A103-05BB0CB2C69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  <c:holeSize val="75"/>
      </c:doughnutChart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46327938174394878"/>
          <c:y val="0.21130671166104237"/>
          <c:w val="0.48043572876175289"/>
          <c:h val="0.55398122026190577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2025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>
        <c:manualLayout>
          <c:layoutTarget val="inner"/>
          <c:xMode val="edge"/>
          <c:yMode val="edge"/>
          <c:x val="4.0782418020532243E-2"/>
          <c:y val="0.17315072246123875"/>
          <c:w val="0.2292615336061237"/>
          <c:h val="0.55535809192075292"/>
        </c:manualLayout>
      </c:layout>
      <c:doughnut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% показателей по клинике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9A97-459C-8268-822A9765D8E8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9A97-459C-8268-822A9765D8E8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9A97-459C-8268-822A9765D8E8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9A97-459C-8268-822A9765D8E8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9-9A97-459C-8268-822A9765D8E8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B-9A97-459C-8268-822A9765D8E8}"/>
              </c:ext>
            </c:extLst>
          </c:dPt>
          <c:cat>
            <c:strRef>
              <c:f>Лист1!$A$2:$A$6</c:f>
              <c:strCache>
                <c:ptCount val="5"/>
                <c:pt idx="0">
                  <c:v>Вялость, сонливость, усталость</c:v>
                </c:pt>
                <c:pt idx="1">
                  <c:v>Снижение успеваемости в школе</c:v>
                </c:pt>
                <c:pt idx="2">
                  <c:v>Ломкость волос, ухудшение качества ногтевой пластины</c:v>
                </c:pt>
                <c:pt idx="3">
                  <c:v>Избыток веса</c:v>
                </c:pt>
                <c:pt idx="4">
                  <c:v>Увеличение частоты ОРИ за календарный год</c:v>
                </c:pt>
              </c:strCache>
            </c:strRef>
          </c:cat>
          <c:val>
            <c:numRef>
              <c:f>Лист1!$B$2:$B$6</c:f>
              <c:numCache>
                <c:formatCode>0.00%</c:formatCode>
                <c:ptCount val="5"/>
                <c:pt idx="0">
                  <c:v>0.1</c:v>
                </c:pt>
                <c:pt idx="1">
                  <c:v>3.3000000000000002E-2</c:v>
                </c:pt>
                <c:pt idx="2">
                  <c:v>2.1999999999999999E-2</c:v>
                </c:pt>
                <c:pt idx="3">
                  <c:v>6.6000000000000003E-2</c:v>
                </c:pt>
                <c:pt idx="4">
                  <c:v>4.3999999999999997E-2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C-9A97-459C-8268-822A9765D8E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  <c:holeSize val="75"/>
      </c:doughnutChart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46327938174394878"/>
          <c:y val="0.21130671166104237"/>
          <c:w val="0.48043572876175289"/>
          <c:h val="0.55398122026190577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>
        <c:manualLayout>
          <c:layoutTarget val="inner"/>
          <c:xMode val="edge"/>
          <c:yMode val="edge"/>
          <c:x val="8.074798442825884E-2"/>
          <c:y val="0.14123298707716106"/>
          <c:w val="0.25356162074132649"/>
          <c:h val="0.63656765960189488"/>
        </c:manualLayout>
      </c:layout>
      <c:doughnut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2023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D093-48AF-BDD6-454495584C77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D093-48AF-BDD6-454495584C77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D093-48AF-BDD6-454495584C77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D093-48AF-BDD6-454495584C77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9-D093-48AF-BDD6-454495584C77}"/>
              </c:ext>
            </c:extLst>
          </c:dPt>
          <c:cat>
            <c:strRef>
              <c:f>Лист1!$A$2:$A$6</c:f>
              <c:strCache>
                <c:ptCount val="5"/>
                <c:pt idx="0">
                  <c:v>Не применяют</c:v>
                </c:pt>
                <c:pt idx="1">
                  <c:v>Применяют частично - только йодированная соль</c:v>
                </c:pt>
                <c:pt idx="2">
                  <c:v>Применяют частично - только йодированное куриное яйцо</c:v>
                </c:pt>
                <c:pt idx="3">
                  <c:v>Применяют во всех продуктах, где возможно йодирование</c:v>
                </c:pt>
                <c:pt idx="4">
                  <c:v>Не обращают внимание на эту характеристику продукта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48</c:v>
                </c:pt>
                <c:pt idx="1">
                  <c:v>6</c:v>
                </c:pt>
                <c:pt idx="2">
                  <c:v>2</c:v>
                </c:pt>
                <c:pt idx="3">
                  <c:v>2</c:v>
                </c:pt>
                <c:pt idx="4">
                  <c:v>32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D35-44A4-B708-B455099BBAE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  <c:holeSize val="75"/>
      </c:doughnutChart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35384719394588227"/>
          <c:y val="0.16319210098737663"/>
          <c:w val="0.61219774981664954"/>
          <c:h val="0.73533979615400291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2024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>
        <c:manualLayout>
          <c:layoutTarget val="inner"/>
          <c:xMode val="edge"/>
          <c:yMode val="edge"/>
          <c:x val="8.074798442825884E-2"/>
          <c:y val="0.14123298707716106"/>
          <c:w val="0.25356162074132649"/>
          <c:h val="0.63656765960189488"/>
        </c:manualLayout>
      </c:layout>
      <c:doughnut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2024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773F-4584-9EB9-C5E1A173EEAF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773F-4584-9EB9-C5E1A173EEAF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773F-4584-9EB9-C5E1A173EEAF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773F-4584-9EB9-C5E1A173EEAF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9-773F-4584-9EB9-C5E1A173EEAF}"/>
              </c:ext>
            </c:extLst>
          </c:dPt>
          <c:cat>
            <c:strRef>
              <c:f>Лист1!$A$2:$A$6</c:f>
              <c:strCache>
                <c:ptCount val="5"/>
                <c:pt idx="0">
                  <c:v>Не применяют</c:v>
                </c:pt>
                <c:pt idx="1">
                  <c:v>Применяют частично - только йодированная соль</c:v>
                </c:pt>
                <c:pt idx="2">
                  <c:v>Применяют частично - только йодированное куриное яйцо</c:v>
                </c:pt>
                <c:pt idx="3">
                  <c:v>Применяют во всех продуктах, где возможно йодирование</c:v>
                </c:pt>
                <c:pt idx="4">
                  <c:v>Не обращают внимание на эту характеристику продукта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32</c:v>
                </c:pt>
                <c:pt idx="1">
                  <c:v>10</c:v>
                </c:pt>
                <c:pt idx="2">
                  <c:v>2</c:v>
                </c:pt>
                <c:pt idx="3">
                  <c:v>16</c:v>
                </c:pt>
                <c:pt idx="4">
                  <c:v>30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773F-4584-9EB9-C5E1A173EEA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  <c:holeSize val="75"/>
      </c:doughnutChart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40384175975394665"/>
          <c:y val="0.16319210098737663"/>
          <c:w val="0.56220318400858527"/>
          <c:h val="0.73533979615400291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2024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>
        <c:manualLayout>
          <c:layoutTarget val="inner"/>
          <c:xMode val="edge"/>
          <c:yMode val="edge"/>
          <c:x val="8.074798442825884E-2"/>
          <c:y val="0.14123298707716106"/>
          <c:w val="0.25356162074132649"/>
          <c:h val="0.63656765960189488"/>
        </c:manualLayout>
      </c:layout>
      <c:doughnut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2024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7CFC-4963-ADCD-76B8AF487B06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7CFC-4963-ADCD-76B8AF487B06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7CFC-4963-ADCD-76B8AF487B06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7CFC-4963-ADCD-76B8AF487B06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9-7CFC-4963-ADCD-76B8AF487B06}"/>
              </c:ext>
            </c:extLst>
          </c:dPt>
          <c:cat>
            <c:strRef>
              <c:f>Лист1!$A$2:$A$6</c:f>
              <c:strCache>
                <c:ptCount val="5"/>
                <c:pt idx="0">
                  <c:v>Не применяют</c:v>
                </c:pt>
                <c:pt idx="1">
                  <c:v>Применяют частично - только йодированная соль</c:v>
                </c:pt>
                <c:pt idx="2">
                  <c:v>Применяют частично - только йодированное куриное яйцо</c:v>
                </c:pt>
                <c:pt idx="3">
                  <c:v>Применяют во всех продуктах, где возможно йодирование</c:v>
                </c:pt>
                <c:pt idx="4">
                  <c:v>Не обращают внимание на эту характеристику продукта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17</c:v>
                </c:pt>
                <c:pt idx="1">
                  <c:v>26</c:v>
                </c:pt>
                <c:pt idx="2">
                  <c:v>2</c:v>
                </c:pt>
                <c:pt idx="3">
                  <c:v>37</c:v>
                </c:pt>
                <c:pt idx="4">
                  <c:v>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7CFC-4963-ADCD-76B8AF487B0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  <c:holeSize val="75"/>
      </c:doughnutChart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40384175975394665"/>
          <c:y val="0.16319210098737663"/>
          <c:w val="0.56220318400858527"/>
          <c:h val="0.73533979615400291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7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8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4">
  <cs:axisTitle>
    <cs:lnRef idx="0"/>
    <cs:fillRef idx="0"/>
    <cs:effectRef idx="0"/>
    <cs:fontRef idx="minor">
      <a:schemeClr val="tx1">
        <a:lumMod val="50000"/>
        <a:lumOff val="50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50000"/>
        <a:lumOff val="50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2">
      <cs:styleClr val="auto"/>
    </cs:fillRef>
    <cs:effectRef idx="1"/>
    <cs:fontRef idx="minor">
      <a:schemeClr val="dk1"/>
    </cs:fontRef>
    <cs:spPr>
      <a:ln w="9525" cap="flat" cmpd="sng" algn="ctr">
        <a:solidFill>
          <a:schemeClr val="phClr">
            <a:shade val="95000"/>
          </a:schemeClr>
        </a:solidFill>
        <a:round/>
      </a:ln>
    </cs:spPr>
  </cs:dataPoint>
  <cs:dataPoint3D>
    <cs:lnRef idx="0"/>
    <cs:fillRef idx="2">
      <cs:styleClr val="auto"/>
    </cs:fillRef>
    <cs:effectRef idx="1"/>
    <cs:fontRef idx="minor">
      <a:schemeClr val="dk1"/>
    </cs:fontRef>
    <cs:spPr/>
  </cs:dataPoint3D>
  <cs:dataPointLine>
    <cs:lnRef idx="0">
      <cs:styleClr val="auto"/>
    </cs:lnRef>
    <cs:fillRef idx="2">
      <cs:styleClr val="auto"/>
    </cs:fillRef>
    <cs:effectRef idx="1"/>
    <cs:fontRef idx="minor">
      <a:schemeClr val="dk1"/>
    </cs:fontRef>
    <cs:spPr>
      <a:ln w="158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2">
      <cs:styleClr val="auto"/>
    </cs:fillRef>
    <cs:effectRef idx="1"/>
    <cs:fontRef idx="minor">
      <a:schemeClr val="dk1"/>
    </cs:fontRef>
    <cs:spPr>
      <a:ln w="9525" cap="flat" cmpd="sng" algn="ctr">
        <a:solidFill>
          <a:schemeClr val="phClr">
            <a:shade val="95000"/>
          </a:schemeClr>
        </a:solidFill>
        <a:round/>
      </a:ln>
    </cs:spPr>
  </cs:dataPointMarker>
  <cs:dataPointMarkerLayout symbol="circle" size="4"/>
  <cs:dataPointWireframe>
    <cs:lnRef idx="0">
      <cs:styleClr val="auto"/>
    </cs:lnRef>
    <cs:fillRef idx="2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50000"/>
        <a:lumOff val="50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50000"/>
            <a:lumOff val="50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solidFill>
          <a:schemeClr val="tx1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50000"/>
        <a:lumOff val="50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prstDash val="dash"/>
      </a:ln>
    </cs:spPr>
  </cs:seriesLine>
  <cs:title>
    <cs:lnRef idx="0"/>
    <cs:fillRef idx="0"/>
    <cs:effectRef idx="0"/>
    <cs:fontRef idx="minor">
      <a:schemeClr val="tx1">
        <a:lumMod val="50000"/>
        <a:lumOff val="50000"/>
      </a:schemeClr>
    </cs:fontRef>
    <cs:defRPr sz="1400" kern="1200" cap="none" spc="20" baseline="0"/>
  </cs:title>
  <cs:trendline>
    <cs:lnRef idx="0">
      <cs:styleClr val="auto"/>
    </cs:lnRef>
    <cs:fillRef idx="2"/>
    <cs:effectRef idx="0"/>
    <cs:fontRef idx="minor">
      <a:schemeClr val="dk1"/>
    </cs:fontRef>
    <cs:spPr>
      <a:ln w="9525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50000"/>
            <a:lumOff val="50000"/>
          </a:schemeClr>
        </a:solidFill>
      </a:ln>
    </cs:spPr>
  </cs:upBar>
  <cs:valueAxis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6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7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8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593</TotalTime>
  <Pages>1</Pages>
  <Words>1272</Words>
  <Characters>7257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Вероника</dc:creator>
  <cp:lastModifiedBy>Диана Султанова</cp:lastModifiedBy>
  <cp:revision>25</cp:revision>
  <cp:lastPrinted>2025-03-17T05:37:00Z</cp:lastPrinted>
  <dcterms:created xsi:type="dcterms:W3CDTF">2025-03-13T15:44:00Z</dcterms:created>
  <dcterms:modified xsi:type="dcterms:W3CDTF">2025-06-05T10:31:00Z</dcterms:modified>
</cp:coreProperties>
</file>