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2F6" w:rsidRPr="00E45B68" w:rsidRDefault="006A42F6" w:rsidP="00A46AE1">
      <w:pPr>
        <w:pStyle w:val="a"/>
        <w:numPr>
          <w:ilvl w:val="0"/>
          <w:numId w:val="0"/>
        </w:numPr>
        <w:spacing w:line="240" w:lineRule="auto"/>
        <w:ind w:left="360" w:right="566"/>
        <w:jc w:val="center"/>
        <w:rPr>
          <w:rFonts w:cs="Times New Roman"/>
          <w:szCs w:val="28"/>
          <w:lang w:val="ru-RU"/>
        </w:rPr>
      </w:pPr>
      <w:r w:rsidRPr="006A42F6">
        <w:rPr>
          <w:rFonts w:cs="Times New Roman"/>
          <w:b/>
          <w:szCs w:val="28"/>
          <w:lang w:val="ru-RU"/>
        </w:rPr>
        <w:t>ИГНАТЬЕВ НИКОЛАЙ ВАЛЕРИЕВИЧ</w:t>
      </w:r>
      <w:r w:rsidRPr="00B87E50">
        <w:rPr>
          <w:rFonts w:cs="Times New Roman"/>
          <w:b/>
          <w:szCs w:val="28"/>
          <w:lang w:val="ru-RU"/>
        </w:rPr>
        <w:t xml:space="preserve">, </w:t>
      </w:r>
      <w:r w:rsidRPr="00E45B68">
        <w:rPr>
          <w:rFonts w:cs="Times New Roman"/>
          <w:szCs w:val="28"/>
          <w:lang w:val="ru-RU"/>
        </w:rPr>
        <w:t>студент</w:t>
      </w:r>
    </w:p>
    <w:p w:rsidR="006A42F6" w:rsidRPr="00E45B68" w:rsidRDefault="006A42F6" w:rsidP="00A46AE1">
      <w:pPr>
        <w:pStyle w:val="a"/>
        <w:numPr>
          <w:ilvl w:val="0"/>
          <w:numId w:val="0"/>
        </w:numPr>
        <w:spacing w:line="240" w:lineRule="auto"/>
        <w:ind w:left="360" w:right="566"/>
        <w:jc w:val="center"/>
        <w:rPr>
          <w:rFonts w:cs="Times New Roman"/>
          <w:szCs w:val="28"/>
          <w:lang w:val="ru-RU"/>
        </w:rPr>
      </w:pPr>
      <w:r w:rsidRPr="00E45B68">
        <w:rPr>
          <w:rFonts w:cs="Times New Roman"/>
          <w:szCs w:val="28"/>
          <w:lang w:val="ru-RU"/>
        </w:rPr>
        <w:t>Научный руководитель –</w:t>
      </w:r>
    </w:p>
    <w:p w:rsidR="006A42F6" w:rsidRPr="00E45B68" w:rsidRDefault="006A42F6" w:rsidP="00A46AE1">
      <w:pPr>
        <w:pStyle w:val="a"/>
        <w:numPr>
          <w:ilvl w:val="0"/>
          <w:numId w:val="0"/>
        </w:numPr>
        <w:spacing w:line="240" w:lineRule="auto"/>
        <w:ind w:left="360" w:right="566"/>
        <w:jc w:val="center"/>
        <w:rPr>
          <w:rFonts w:cs="Times New Roman"/>
          <w:szCs w:val="28"/>
          <w:lang w:val="ru-RU"/>
        </w:rPr>
      </w:pPr>
      <w:r>
        <w:rPr>
          <w:rFonts w:cs="Times New Roman"/>
          <w:b/>
          <w:szCs w:val="28"/>
          <w:lang w:val="ru-RU"/>
        </w:rPr>
        <w:t>ШАХВАТОВА СВЕТЛАНА</w:t>
      </w:r>
      <w:r w:rsidRPr="00EC5934">
        <w:rPr>
          <w:rFonts w:ascii="Arial" w:hAnsi="Arial" w:cs="Arial"/>
          <w:color w:val="171520"/>
          <w:sz w:val="16"/>
          <w:szCs w:val="16"/>
          <w:lang w:val="ru-RU"/>
        </w:rPr>
        <w:t xml:space="preserve"> </w:t>
      </w:r>
      <w:r w:rsidRPr="00EC5934">
        <w:rPr>
          <w:rFonts w:cs="Times New Roman"/>
          <w:b/>
          <w:szCs w:val="28"/>
          <w:lang w:val="ru-RU"/>
        </w:rPr>
        <w:t xml:space="preserve">АНАТОЛЬЕВНА, </w:t>
      </w:r>
      <w:r w:rsidRPr="00E45B68">
        <w:rPr>
          <w:rFonts w:cs="Times New Roman"/>
          <w:szCs w:val="28"/>
          <w:lang w:val="ru-RU"/>
        </w:rPr>
        <w:t xml:space="preserve">канд. </w:t>
      </w:r>
      <w:proofErr w:type="spellStart"/>
      <w:r w:rsidRPr="00E45B68">
        <w:rPr>
          <w:rFonts w:cs="Times New Roman"/>
          <w:szCs w:val="28"/>
          <w:lang w:val="ru-RU"/>
        </w:rPr>
        <w:t>экон</w:t>
      </w:r>
      <w:proofErr w:type="spellEnd"/>
      <w:r w:rsidRPr="00E45B68">
        <w:rPr>
          <w:rFonts w:cs="Times New Roman"/>
          <w:szCs w:val="28"/>
          <w:lang w:val="ru-RU"/>
        </w:rPr>
        <w:t>. наук, доц.</w:t>
      </w:r>
    </w:p>
    <w:p w:rsidR="006A42F6" w:rsidRPr="006A42F6" w:rsidRDefault="006A42F6" w:rsidP="00A46AE1">
      <w:pPr>
        <w:pStyle w:val="a"/>
        <w:numPr>
          <w:ilvl w:val="0"/>
          <w:numId w:val="0"/>
        </w:numPr>
        <w:spacing w:line="240" w:lineRule="auto"/>
        <w:ind w:left="360" w:right="566"/>
        <w:jc w:val="center"/>
        <w:rPr>
          <w:rFonts w:cs="Times New Roman"/>
          <w:sz w:val="24"/>
          <w:szCs w:val="24"/>
          <w:lang w:val="ru-RU"/>
        </w:rPr>
      </w:pPr>
      <w:proofErr w:type="spellStart"/>
      <w:r w:rsidRPr="006A42F6">
        <w:rPr>
          <w:rFonts w:eastAsia="Times New Roman" w:cs="Times New Roman"/>
          <w:sz w:val="24"/>
          <w:szCs w:val="24"/>
        </w:rPr>
        <w:t>DarK</w:t>
      </w:r>
      <w:proofErr w:type="spellEnd"/>
      <w:r w:rsidRPr="006A42F6">
        <w:rPr>
          <w:rFonts w:eastAsia="Times New Roman" w:cs="Times New Roman"/>
          <w:sz w:val="24"/>
          <w:szCs w:val="24"/>
          <w:lang w:val="ru-RU"/>
        </w:rPr>
        <w:t>-</w:t>
      </w:r>
      <w:proofErr w:type="spellStart"/>
      <w:r w:rsidRPr="006A42F6">
        <w:rPr>
          <w:rFonts w:eastAsia="Times New Roman" w:cs="Times New Roman"/>
          <w:sz w:val="24"/>
          <w:szCs w:val="24"/>
        </w:rPr>
        <w:t>ChocoL</w:t>
      </w:r>
      <w:proofErr w:type="spellEnd"/>
      <w:r w:rsidRPr="006A42F6">
        <w:rPr>
          <w:rFonts w:eastAsia="Times New Roman" w:cs="Times New Roman"/>
          <w:sz w:val="24"/>
          <w:szCs w:val="24"/>
          <w:lang w:val="ru-RU"/>
        </w:rPr>
        <w:t>@</w:t>
      </w:r>
      <w:proofErr w:type="spellStart"/>
      <w:r w:rsidRPr="006A42F6">
        <w:rPr>
          <w:rFonts w:eastAsia="Times New Roman" w:cs="Times New Roman"/>
          <w:sz w:val="24"/>
          <w:szCs w:val="24"/>
        </w:rPr>
        <w:t>yandex</w:t>
      </w:r>
      <w:proofErr w:type="spellEnd"/>
      <w:r w:rsidRPr="006A42F6">
        <w:rPr>
          <w:rFonts w:eastAsia="Times New Roman" w:cs="Times New Roman"/>
          <w:sz w:val="24"/>
          <w:szCs w:val="24"/>
          <w:lang w:val="ru-RU"/>
        </w:rPr>
        <w:t>.</w:t>
      </w:r>
      <w:proofErr w:type="spellStart"/>
      <w:r w:rsidRPr="006A42F6">
        <w:rPr>
          <w:rFonts w:eastAsia="Times New Roman" w:cs="Times New Roman"/>
          <w:sz w:val="24"/>
          <w:szCs w:val="24"/>
        </w:rPr>
        <w:t>ru</w:t>
      </w:r>
      <w:proofErr w:type="spellEnd"/>
      <w:r>
        <w:rPr>
          <w:rFonts w:cs="Times New Roman"/>
          <w:sz w:val="24"/>
          <w:szCs w:val="24"/>
          <w:lang w:val="ru-RU"/>
        </w:rPr>
        <w:t xml:space="preserve"> </w:t>
      </w:r>
    </w:p>
    <w:p w:rsidR="006A42F6" w:rsidRPr="00E45B68" w:rsidRDefault="006A42F6" w:rsidP="00A46AE1">
      <w:pPr>
        <w:pStyle w:val="a"/>
        <w:numPr>
          <w:ilvl w:val="0"/>
          <w:numId w:val="0"/>
        </w:numPr>
        <w:spacing w:line="240" w:lineRule="auto"/>
        <w:ind w:left="360" w:right="566"/>
        <w:jc w:val="center"/>
        <w:rPr>
          <w:rFonts w:cs="Times New Roman"/>
          <w:sz w:val="24"/>
          <w:szCs w:val="24"/>
          <w:lang w:val="ru-RU"/>
        </w:rPr>
      </w:pPr>
      <w:r w:rsidRPr="00E45B68">
        <w:rPr>
          <w:rFonts w:cs="Times New Roman"/>
          <w:bCs/>
          <w:sz w:val="24"/>
          <w:szCs w:val="24"/>
          <w:lang w:val="ru-RU"/>
        </w:rPr>
        <w:t>Липецкий филиал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  <w:r w:rsidRPr="00E45B68">
        <w:rPr>
          <w:rFonts w:cs="Times New Roman"/>
          <w:sz w:val="24"/>
          <w:szCs w:val="24"/>
          <w:lang w:val="ru-RU"/>
        </w:rPr>
        <w:t>,</w:t>
      </w:r>
    </w:p>
    <w:p w:rsidR="006A42F6" w:rsidRPr="00E45B68" w:rsidRDefault="006A42F6" w:rsidP="00A46AE1">
      <w:pPr>
        <w:pStyle w:val="a"/>
        <w:numPr>
          <w:ilvl w:val="0"/>
          <w:numId w:val="0"/>
        </w:numPr>
        <w:spacing w:line="240" w:lineRule="auto"/>
        <w:ind w:left="360" w:right="566"/>
        <w:jc w:val="center"/>
        <w:rPr>
          <w:rFonts w:cs="Times New Roman"/>
          <w:sz w:val="24"/>
          <w:szCs w:val="24"/>
          <w:lang w:val="ru-RU"/>
        </w:rPr>
      </w:pPr>
      <w:r w:rsidRPr="00E45B68">
        <w:rPr>
          <w:rFonts w:cs="Times New Roman"/>
          <w:sz w:val="24"/>
          <w:szCs w:val="24"/>
          <w:lang w:val="ru-RU"/>
        </w:rPr>
        <w:t>г</w:t>
      </w:r>
      <w:proofErr w:type="gramStart"/>
      <w:r w:rsidRPr="00E45B68">
        <w:rPr>
          <w:rFonts w:cs="Times New Roman"/>
          <w:sz w:val="24"/>
          <w:szCs w:val="24"/>
          <w:lang w:val="ru-RU"/>
        </w:rPr>
        <w:t>.Л</w:t>
      </w:r>
      <w:proofErr w:type="gramEnd"/>
      <w:r w:rsidRPr="00E45B68">
        <w:rPr>
          <w:rFonts w:cs="Times New Roman"/>
          <w:sz w:val="24"/>
          <w:szCs w:val="24"/>
          <w:lang w:val="ru-RU"/>
        </w:rPr>
        <w:t>ипецк, Россия</w:t>
      </w:r>
    </w:p>
    <w:p w:rsidR="006A42F6" w:rsidRPr="00A46AE1" w:rsidRDefault="006A42F6" w:rsidP="00A46AE1">
      <w:pPr>
        <w:spacing w:line="240" w:lineRule="auto"/>
        <w:ind w:right="566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A42F6">
        <w:br/>
      </w:r>
      <w:r w:rsidRPr="006A42F6">
        <w:br/>
      </w:r>
      <w:r w:rsidRPr="00A46AE1">
        <w:rPr>
          <w:rFonts w:ascii="Times New Roman" w:hAnsi="Times New Roman" w:cs="Times New Roman"/>
          <w:b/>
          <w:bCs/>
          <w:sz w:val="28"/>
          <w:szCs w:val="28"/>
        </w:rPr>
        <w:t>ФИНАНСОВО-КРЕДИТНЫЕ МЕХАНИЗМЫ РЕГУЛИРОВАНИЯ ЭКОНОМИКИ РОССИИ</w:t>
      </w:r>
    </w:p>
    <w:p w:rsidR="006A42F6" w:rsidRPr="006A42F6" w:rsidRDefault="006A42F6" w:rsidP="00A46AE1">
      <w:pPr>
        <w:spacing w:line="240" w:lineRule="auto"/>
        <w:ind w:right="56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A42F6">
        <w:rPr>
          <w:rFonts w:ascii="Times New Roman" w:hAnsi="Times New Roman" w:cs="Times New Roman"/>
          <w:i/>
          <w:sz w:val="28"/>
          <w:szCs w:val="28"/>
        </w:rPr>
        <w:t xml:space="preserve">В статье рассматриваются сущность, структура и роль финансово-кредитных механизмов в системе государственного регулирования экономики России. Освещены основные инструменты бюджетной и денежно-кредитной политики, их влияние на макроэкономическую стабильность и экономический рост. Особое внимание уделено ключевой ставке Центрального банка, системе банковского кредитования, бюджету как инструменту экономического стимулирования, а также вопросам </w:t>
      </w:r>
      <w:proofErr w:type="spellStart"/>
      <w:r w:rsidRPr="006A42F6">
        <w:rPr>
          <w:rFonts w:ascii="Times New Roman" w:hAnsi="Times New Roman" w:cs="Times New Roman"/>
          <w:i/>
          <w:sz w:val="28"/>
          <w:szCs w:val="28"/>
        </w:rPr>
        <w:t>цифровизации</w:t>
      </w:r>
      <w:proofErr w:type="spellEnd"/>
      <w:r w:rsidRPr="006A42F6">
        <w:rPr>
          <w:rFonts w:ascii="Times New Roman" w:hAnsi="Times New Roman" w:cs="Times New Roman"/>
          <w:i/>
          <w:sz w:val="28"/>
          <w:szCs w:val="28"/>
        </w:rPr>
        <w:t xml:space="preserve"> и контроля в сфере государственных финансов. Подчёркивается значимость согласованного применения различных финансово-кредитных рычагов в условиях экономических вызовов и трансформаций.</w:t>
      </w:r>
      <w:r w:rsidRPr="006A42F6">
        <w:rPr>
          <w:rFonts w:ascii="Times New Roman" w:hAnsi="Times New Roman" w:cs="Times New Roman"/>
          <w:i/>
          <w:sz w:val="28"/>
          <w:szCs w:val="28"/>
        </w:rPr>
        <w:br/>
      </w:r>
      <w:proofErr w:type="gramStart"/>
      <w:r w:rsidRPr="006A42F6">
        <w:rPr>
          <w:rFonts w:ascii="Times New Roman" w:hAnsi="Times New Roman" w:cs="Times New Roman"/>
          <w:b/>
          <w:bCs/>
          <w:i/>
          <w:sz w:val="28"/>
          <w:szCs w:val="28"/>
        </w:rPr>
        <w:t>Ключевые слова: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6A42F6">
        <w:rPr>
          <w:rFonts w:ascii="Times New Roman" w:hAnsi="Times New Roman" w:cs="Times New Roman"/>
          <w:i/>
          <w:sz w:val="28"/>
          <w:szCs w:val="28"/>
        </w:rPr>
        <w:t>финансово-кредитный механизм, денежно-кредитная политика, бюджетное регулирование, ключевая ставка, банковское кредитование, государственный бюджет, макроэкономическая стабильность, финансовый контроль, экономика России.</w:t>
      </w:r>
      <w:proofErr w:type="gramEnd"/>
    </w:p>
    <w:p w:rsidR="006A42F6" w:rsidRDefault="00A46AE1" w:rsidP="00A46AE1">
      <w:pPr>
        <w:spacing w:after="0" w:line="240" w:lineRule="auto"/>
        <w:ind w:right="566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В современных условиях нестабильной мировой экономической среды финансово-кредитные механизмы играют ключевую роль в регулировании экономического развития Российской Федерации. Эти механизмы представляют собой совокупность инструментов и методов государственного воздействия на макроэкономические процессы с целью обеспечения устойчивого роста, ценовой стабильности, сбалансированности бюджета и финансовой безопасности. Эффективное использование финансово-кредитных рычагов позволяет государству сглаживать циклические колебания, стимулировать инвестиционную активность и поддерживать уровень занятости населения.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Финансово-кредитное регулирование реализуется посредством налогово-бюджетной и денежно-кредитной политики. Налогово-бюджетная политика направлена на перераспределение валового внутреннего продукта (ВВП) через доходы и расходы бюджета, а также на формирование условий для развития приоритетных отраслей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lastRenderedPageBreak/>
        <w:t>экономики. В свою очередь, денежно-кредитная политика, проводимая Центральным банком Российской Федерации, ориентирована на управление уровнем инфляции, процентными ставками и ликвидностью банковского сектора. Эти две составляющие системы экономического регулирования взаимосвязаны и требуют координации для достижения макроэкономической стабильности.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Одним из важнейших инструментов финансово-кредитного регулирования является ключевая ставка Банка России, которая оказывает прямое влияние на стоимость заимствований в экономике. Изменение ключевой ставки воздействует на уровень потребительского спроса, объем инвестиций, динамику инфляции и курс национальной валюты. Например, в период высокой инфляции Центральный банк может повысить ставку, чтобы снизить кредитную активность и сократить денежную массу в обращении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тем самым сдерживая рост цен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[1].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Наряду с этим, важную роль играет система банковского кредитования. Коммерческие банки, аккумулируя временно свободные денежные средства, направляют их на кредитование предприятий и населения. Развитие механизмов долгосрочного кредитования, в том числе ипотечного и инвестиционного, способствует увеличению совокупного спроса и активизации деловой активности. Государственная поддержка в виде субсидирования процентных ставок, гарантий и льготных программ также является частью финансово-кредитного механизма, направленного на развитие отдельных секторов экономики, таких как сельское хозяйство, промышленнос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ть и малое предпринимательство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[2].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Особое значение в финансово-кредитном регулировании экономики России приобретает институт государственного бюджета. Бюджетная политика государства отражает его приоритеты в расходовании средств и играет важную роль в стимулировании экономического роста. В условиях внешнеэкономического давления и санкций акцент делается на мобилизацию внутренних ресурсов, </w:t>
      </w:r>
      <w:proofErr w:type="spellStart"/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импортозамещение</w:t>
      </w:r>
      <w:proofErr w:type="spellEnd"/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 и поддержку стратегических отраслей. Использование механизма государственных инвестиций в инфраструктуру, высокие технологии и человеческий капитал позволяет запустить мультипликативные эффекты, повышающие конкурентосп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особность российской экономики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[3].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Кроме того, важным элементом является регулирование финансового сектора и рынка капитала. Создание прозрачной и устойчивой финансовой системы требует эффективного надзора со стороны Центрального банка, развития институциональных инвесторов,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lastRenderedPageBreak/>
        <w:t>защиты прав инвесторов и обеспечения доступности финансовых услуг. Государство также использует механизмы фондового рынка, в частности, размещение государственных облигаций, как средство привлечения допол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нительных ресурсов в экономику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[4].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Актуальной задачей остается совершенствование системы финансового контроля и мониторинга эффективности бюджетных расходов. В условиях ограниченности ресурсов необходимо добиваться максимальной отдачи от каждого рубля, направляемого на реализацию государственных программ. &gt; </w:t>
      </w:r>
      <w:proofErr w:type="spellStart"/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Rion</w:t>
      </w:r>
      <w:proofErr w:type="spellEnd"/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: В этом контексте </w:t>
      </w:r>
      <w:proofErr w:type="spellStart"/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цифровизация</w:t>
      </w:r>
      <w:proofErr w:type="spellEnd"/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финансов, внедрение системы казначейского сопровождения и аналитических платформ для оценки эффективности становятся важными направлениями модернизации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финансово-кредитного механизма 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[5].</w:t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6A42F6" w:rsidRPr="006A42F6">
        <w:rPr>
          <w:rFonts w:ascii="Times New Roman" w:eastAsia="Times New Roman" w:hAnsi="Times New Roman" w:cs="Times New Roman"/>
          <w:sz w:val="28"/>
          <w:szCs w:val="28"/>
        </w:rPr>
        <w:t>Таким образом, финансово-кредитные механизмы являются неотъемлемым инструментом регулирования экономики России. Их комплексное и согласованное применение позволяет государству формировать устойчивую макроэкономическую среду, адаптироваться к внешним вызовам и стимулировать долгосрочное развитие. Перспективы дальнейшего совершенствования данных механизмов связаны с повышением гибкости государственной политики, развитием цифровых финансовых технологий и усилением роли институционального инвестирования.</w:t>
      </w:r>
    </w:p>
    <w:p w:rsidR="00A46AE1" w:rsidRDefault="006A42F6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6A42F6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6A42F6">
        <w:rPr>
          <w:rFonts w:ascii="Times New Roman" w:eastAsia="Times New Roman" w:hAnsi="Times New Roman" w:cs="Times New Roman"/>
          <w:bCs/>
          <w:i/>
          <w:sz w:val="24"/>
          <w:szCs w:val="24"/>
        </w:rPr>
        <w:t>Список литературы</w:t>
      </w:r>
    </w:p>
    <w:p w:rsidR="00A46AE1" w:rsidRPr="00A46AE1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</w:p>
    <w:p w:rsidR="00000000" w:rsidRDefault="006A42F6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A42F6">
        <w:rPr>
          <w:rFonts w:ascii="Times New Roman" w:eastAsia="Times New Roman" w:hAnsi="Times New Roman" w:cs="Times New Roman"/>
          <w:sz w:val="24"/>
          <w:szCs w:val="24"/>
        </w:rPr>
        <w:t>1. Центральный банк Российской Федерации. Основные направления денежно-кредитной политики на 2024 год и период 2025 и 2026 годов. – [</w:t>
      </w:r>
      <w:hyperlink r:id="rId5" w:history="1">
        <w:r w:rsidRPr="006A4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https://www.cbr.ru</w:t>
        </w:r>
      </w:hyperlink>
      <w:r w:rsidRPr="006A42F6">
        <w:rPr>
          <w:rFonts w:ascii="Times New Roman" w:eastAsia="Times New Roman" w:hAnsi="Times New Roman" w:cs="Times New Roman"/>
          <w:sz w:val="24"/>
          <w:szCs w:val="24"/>
        </w:rPr>
        <w:t>](</w:t>
      </w:r>
      <w:hyperlink r:id="rId6" w:history="1">
        <w:r w:rsidRPr="006A4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https://www.cbr.ru</w:t>
        </w:r>
      </w:hyperlink>
      <w:r w:rsidRPr="006A42F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  <w:t>2. Абалкина, М. Ю., &amp; Веденеев, Д. Ю. Роль банковского сектора в кредитном обеспечении реального сектора экономики. // *Финансы и кредит*, 2023, № 5(881), с. 23–31.</w:t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  <w:t xml:space="preserve">3. Минфин России. Основные направления бюджетной, налоговой и </w:t>
      </w:r>
      <w:proofErr w:type="spellStart"/>
      <w:r w:rsidRPr="006A42F6">
        <w:rPr>
          <w:rFonts w:ascii="Times New Roman" w:eastAsia="Times New Roman" w:hAnsi="Times New Roman" w:cs="Times New Roman"/>
          <w:sz w:val="24"/>
          <w:szCs w:val="24"/>
        </w:rPr>
        <w:t>таможенно-тарифной</w:t>
      </w:r>
      <w:proofErr w:type="spellEnd"/>
      <w:r w:rsidRPr="006A42F6">
        <w:rPr>
          <w:rFonts w:ascii="Times New Roman" w:eastAsia="Times New Roman" w:hAnsi="Times New Roman" w:cs="Times New Roman"/>
          <w:sz w:val="24"/>
          <w:szCs w:val="24"/>
        </w:rPr>
        <w:t xml:space="preserve"> политики. – [</w:t>
      </w:r>
      <w:hyperlink r:id="rId7" w:history="1">
        <w:r w:rsidRPr="006A4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https://minfin.gov.ru</w:t>
        </w:r>
      </w:hyperlink>
      <w:r w:rsidRPr="006A42F6">
        <w:rPr>
          <w:rFonts w:ascii="Times New Roman" w:eastAsia="Times New Roman" w:hAnsi="Times New Roman" w:cs="Times New Roman"/>
          <w:sz w:val="24"/>
          <w:szCs w:val="24"/>
        </w:rPr>
        <w:t>](</w:t>
      </w:r>
      <w:hyperlink r:id="rId8" w:history="1">
        <w:r w:rsidRPr="006A4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https://minfin.gov.ru</w:t>
        </w:r>
      </w:hyperlink>
      <w:r w:rsidRPr="006A42F6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  <w:t>4. Рогова, Н. Е. Финансовый рынок России: состояние, проблемы и перспективы. // *Финансовая аналитика: проблемы и решения*, 2022, № 11(425), с. 8–15.</w:t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</w:r>
      <w:r w:rsidRPr="006A42F6">
        <w:rPr>
          <w:rFonts w:ascii="Times New Roman" w:eastAsia="Times New Roman" w:hAnsi="Times New Roman" w:cs="Times New Roman"/>
          <w:sz w:val="24"/>
          <w:szCs w:val="24"/>
        </w:rPr>
        <w:br/>
        <w:t xml:space="preserve">5. Казначейство России. О </w:t>
      </w:r>
      <w:proofErr w:type="spellStart"/>
      <w:r w:rsidRPr="006A42F6">
        <w:rPr>
          <w:rFonts w:ascii="Times New Roman" w:eastAsia="Times New Roman" w:hAnsi="Times New Roman" w:cs="Times New Roman"/>
          <w:sz w:val="24"/>
          <w:szCs w:val="24"/>
        </w:rPr>
        <w:t>цифровизации</w:t>
      </w:r>
      <w:proofErr w:type="spellEnd"/>
      <w:r w:rsidRPr="006A42F6">
        <w:rPr>
          <w:rFonts w:ascii="Times New Roman" w:eastAsia="Times New Roman" w:hAnsi="Times New Roman" w:cs="Times New Roman"/>
          <w:sz w:val="24"/>
          <w:szCs w:val="24"/>
        </w:rPr>
        <w:t xml:space="preserve"> бюджетного процесса. – [</w:t>
      </w:r>
      <w:hyperlink r:id="rId9" w:history="1">
        <w:r w:rsidRPr="006A4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https://roskazna.gov.ru</w:t>
        </w:r>
      </w:hyperlink>
      <w:r w:rsidRPr="006A42F6">
        <w:rPr>
          <w:rFonts w:ascii="Times New Roman" w:eastAsia="Times New Roman" w:hAnsi="Times New Roman" w:cs="Times New Roman"/>
          <w:sz w:val="24"/>
          <w:szCs w:val="24"/>
        </w:rPr>
        <w:t>](</w:t>
      </w:r>
      <w:hyperlink r:id="rId10" w:history="1">
        <w:r w:rsidRPr="006A42F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https://roskazna.gov.ru</w:t>
        </w:r>
      </w:hyperlink>
      <w:r w:rsidRPr="006A42F6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46AE1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AE1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AE1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AE1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AE1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46AE1" w:rsidRPr="00A46AE1" w:rsidRDefault="00A46AE1" w:rsidP="00A46AE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lang w:eastAsia="en-US"/>
        </w:rPr>
      </w:pPr>
      <w:r w:rsidRPr="00A46AE1">
        <w:rPr>
          <w:rFonts w:ascii="Times New Roman" w:eastAsia="Times New Roman" w:hAnsi="Times New Roman" w:cs="Times New Roman"/>
          <w:sz w:val="28"/>
          <w:lang w:eastAsia="en-US"/>
        </w:rPr>
        <w:lastRenderedPageBreak/>
        <w:t>1. Экономика.</w:t>
      </w:r>
    </w:p>
    <w:p w:rsidR="00A46AE1" w:rsidRPr="00A46AE1" w:rsidRDefault="00A46AE1" w:rsidP="00A46AE1">
      <w:pPr>
        <w:spacing w:line="360" w:lineRule="auto"/>
        <w:ind w:left="360" w:hanging="360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46AE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ИГНАТЬЕВ НИКОЛАЙ ВАЛЕРИЕВИЧ</w:t>
      </w:r>
      <w:r w:rsidRPr="00A46AE1">
        <w:rPr>
          <w:rFonts w:ascii="Times New Roman" w:eastAsia="Times New Roman" w:hAnsi="Times New Roman" w:cs="Times New Roman"/>
          <w:sz w:val="28"/>
          <w:szCs w:val="28"/>
          <w:lang w:eastAsia="en-US"/>
        </w:rPr>
        <w:t>, студент</w:t>
      </w:r>
    </w:p>
    <w:p w:rsidR="00A46AE1" w:rsidRDefault="00A46AE1" w:rsidP="00A46AE1">
      <w:pPr>
        <w:spacing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proofErr w:type="spellStart"/>
      <w:r w:rsidRPr="00A46AE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DarK</w:t>
      </w:r>
      <w:proofErr w:type="spellEnd"/>
      <w:r w:rsidRPr="00A46AE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-</w:t>
      </w:r>
      <w:proofErr w:type="spellStart"/>
      <w:r w:rsidRPr="00A46AE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ChocoL</w:t>
      </w:r>
      <w:proofErr w:type="spellEnd"/>
      <w:r w:rsidRPr="00A46AE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@</w:t>
      </w:r>
      <w:proofErr w:type="spellStart"/>
      <w:r w:rsidRPr="00A46AE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yandex</w:t>
      </w:r>
      <w:proofErr w:type="spellEnd"/>
      <w:r w:rsidRPr="00A46AE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.</w:t>
      </w:r>
      <w:proofErr w:type="spellStart"/>
      <w:r w:rsidRPr="00A46AE1">
        <w:rPr>
          <w:rFonts w:ascii="Times New Roman" w:eastAsia="Times New Roman" w:hAnsi="Times New Roman" w:cs="Times New Roman"/>
          <w:bCs/>
          <w:sz w:val="28"/>
          <w:szCs w:val="28"/>
          <w:lang w:val="en-US" w:eastAsia="en-US"/>
        </w:rPr>
        <w:t>ru</w:t>
      </w:r>
      <w:proofErr w:type="spellEnd"/>
      <w:r w:rsidRPr="00A46AE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:rsidR="00A46AE1" w:rsidRPr="00A46AE1" w:rsidRDefault="00A46AE1" w:rsidP="00A46AE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46AE1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Липецкий филиал федерального государственного бюджетного образовательного учреждения высшего образования «Российская академия народного хозяйства и государственной службы при Президенте Российской Федерации»</w:t>
      </w:r>
      <w:r w:rsidRPr="00A46AE1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</w:p>
    <w:p w:rsidR="00A46AE1" w:rsidRPr="00A46AE1" w:rsidRDefault="00A46AE1" w:rsidP="00A46AE1">
      <w:pPr>
        <w:spacing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46AE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Стоимость публикации одной статьи (3-4 стр.), включая сборник в электронном виде 500 рублей. </w:t>
      </w:r>
    </w:p>
    <w:p w:rsidR="00A46AE1" w:rsidRPr="006A42F6" w:rsidRDefault="00A46AE1" w:rsidP="00A46AE1">
      <w:pPr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46AE1" w:rsidRPr="006A42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40A8B78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42F6"/>
    <w:rsid w:val="006A42F6"/>
    <w:rsid w:val="00A4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6A42F6"/>
    <w:rPr>
      <w:color w:val="0000FF"/>
      <w:u w:val="single"/>
    </w:rPr>
  </w:style>
  <w:style w:type="paragraph" w:styleId="a">
    <w:name w:val="List Number"/>
    <w:basedOn w:val="a0"/>
    <w:uiPriority w:val="99"/>
    <w:unhideWhenUsed/>
    <w:rsid w:val="006A42F6"/>
    <w:pPr>
      <w:numPr>
        <w:numId w:val="1"/>
      </w:numPr>
      <w:spacing w:line="360" w:lineRule="auto"/>
      <w:contextualSpacing/>
    </w:pPr>
    <w:rPr>
      <w:rFonts w:ascii="Times New Roman" w:hAnsi="Times New Roman"/>
      <w:sz w:val="28"/>
      <w:lang w:val="en-US" w:eastAsia="en-US"/>
    </w:rPr>
  </w:style>
  <w:style w:type="paragraph" w:styleId="a5">
    <w:name w:val="List Paragraph"/>
    <w:basedOn w:val="a0"/>
    <w:uiPriority w:val="34"/>
    <w:qFormat/>
    <w:rsid w:val="00A46A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2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0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5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8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698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139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67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nfin.gov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nfin.gov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br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cbr.ru/" TargetMode="External"/><Relationship Id="rId10" Type="http://schemas.openxmlformats.org/officeDocument/2006/relationships/hyperlink" Target="https://roskazna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kazna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2025-06-06T13:16:00Z</dcterms:created>
  <dcterms:modified xsi:type="dcterms:W3CDTF">2025-06-06T13:16:00Z</dcterms:modified>
</cp:coreProperties>
</file>