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6000000">
      <w:pPr>
        <w:spacing w:line="276" w:lineRule="auto"/>
        <w:ind w:firstLine="567" w:left="0"/>
        <w:jc w:val="center"/>
        <w:rPr>
          <w:rFonts w:ascii="Times New Roman" w:hAnsi="Times New Roman"/>
          <w:b w:val="1"/>
          <w:sz w:val="28"/>
        </w:rPr>
      </w:pPr>
      <w:r>
        <w:rPr>
          <w:rFonts w:ascii="Times New Roman" w:hAnsi="Times New Roman"/>
          <w:sz w:val="28"/>
        </w:rPr>
        <w:t>Муниципальное автономное учреждение дополнительного образования</w:t>
      </w:r>
    </w:p>
    <w:p w14:paraId="07000000">
      <w:pPr>
        <w:spacing w:line="276" w:lineRule="auto"/>
        <w:ind w:firstLine="567" w:left="0"/>
        <w:jc w:val="center"/>
        <w:rPr>
          <w:rFonts w:ascii="Times New Roman" w:hAnsi="Times New Roman"/>
          <w:sz w:val="28"/>
        </w:rPr>
      </w:pPr>
      <w:r>
        <w:rPr>
          <w:rFonts w:ascii="Times New Roman" w:hAnsi="Times New Roman"/>
          <w:b w:val="1"/>
          <w:sz w:val="28"/>
        </w:rPr>
        <w:t xml:space="preserve">«Колтушская </w:t>
      </w:r>
      <w:r>
        <w:rPr>
          <w:rFonts w:ascii="Times New Roman" w:hAnsi="Times New Roman"/>
          <w:b w:val="1"/>
          <w:sz w:val="28"/>
        </w:rPr>
        <w:t xml:space="preserve">детская </w:t>
      </w:r>
      <w:r>
        <w:rPr>
          <w:rFonts w:ascii="Times New Roman" w:hAnsi="Times New Roman"/>
          <w:b w:val="1"/>
          <w:sz w:val="28"/>
        </w:rPr>
        <w:t>школа искусств»</w:t>
      </w:r>
    </w:p>
    <w:p w14:paraId="08000000">
      <w:pPr>
        <w:spacing w:line="276" w:lineRule="auto"/>
        <w:ind/>
        <w:rPr>
          <w:rFonts w:ascii="Times New Roman" w:hAnsi="Times New Roman"/>
          <w:b w:val="1"/>
          <w:sz w:val="28"/>
        </w:rPr>
      </w:pPr>
    </w:p>
    <w:p w14:paraId="09000000">
      <w:pPr>
        <w:spacing w:line="276" w:lineRule="auto"/>
        <w:ind/>
        <w:rPr>
          <w:rFonts w:ascii="Times New Roman" w:hAnsi="Times New Roman"/>
          <w:b w:val="1"/>
          <w:sz w:val="28"/>
        </w:rPr>
      </w:pPr>
    </w:p>
    <w:p w14:paraId="0A000000">
      <w:pPr>
        <w:spacing w:line="276" w:lineRule="auto"/>
        <w:ind/>
        <w:jc w:val="center"/>
        <w:rPr>
          <w:rFonts w:ascii="Times New Roman" w:hAnsi="Times New Roman"/>
          <w:b w:val="1"/>
          <w:sz w:val="36"/>
        </w:rPr>
      </w:pPr>
      <w:r>
        <w:rPr>
          <w:rFonts w:ascii="Times New Roman" w:hAnsi="Times New Roman"/>
          <w:b w:val="1"/>
          <w:sz w:val="36"/>
        </w:rPr>
        <w:t>Методическое сообщение на тему:</w:t>
      </w:r>
    </w:p>
    <w:p w14:paraId="0B000000">
      <w:pPr>
        <w:spacing w:line="276" w:lineRule="auto"/>
        <w:ind w:firstLine="567" w:left="0"/>
        <w:jc w:val="center"/>
        <w:rPr>
          <w:rFonts w:ascii="Times New Roman" w:hAnsi="Times New Roman"/>
          <w:b w:val="1"/>
          <w:sz w:val="28"/>
        </w:rPr>
      </w:pPr>
      <w:r>
        <w:rPr>
          <w:rFonts w:ascii="Times New Roman" w:hAnsi="Times New Roman"/>
          <w:b w:val="1"/>
          <w:sz w:val="28"/>
        </w:rPr>
        <w:t>Этюды в младших классах музыкальных школ.</w:t>
      </w:r>
    </w:p>
    <w:p w14:paraId="0C000000">
      <w:pPr>
        <w:spacing w:line="276" w:lineRule="auto"/>
        <w:ind w:firstLine="567" w:left="0"/>
        <w:rPr>
          <w:rFonts w:ascii="Times New Roman" w:hAnsi="Times New Roman"/>
          <w:b w:val="1"/>
          <w:sz w:val="28"/>
        </w:rPr>
      </w:pPr>
    </w:p>
    <w:p w14:paraId="0D000000">
      <w:pPr>
        <w:spacing w:after="28" w:before="28" w:line="276" w:lineRule="auto"/>
        <w:ind w:firstLine="567" w:left="0" w:right="57"/>
        <w:jc w:val="right"/>
        <w:rPr>
          <w:rFonts w:ascii="Times New Roman" w:hAnsi="Times New Roman"/>
          <w:i w:val="1"/>
          <w:sz w:val="32"/>
        </w:rPr>
      </w:pPr>
      <w:r>
        <w:rPr>
          <w:rFonts w:ascii="Times New Roman" w:hAnsi="Times New Roman"/>
          <w:i w:val="1"/>
          <w:sz w:val="28"/>
        </w:rPr>
        <w:t xml:space="preserve">Подготовила преподаватель </w:t>
      </w:r>
      <w:r>
        <w:rPr>
          <w:rFonts w:ascii="Times New Roman" w:hAnsi="Times New Roman"/>
          <w:i w:val="1"/>
          <w:sz w:val="28"/>
        </w:rPr>
        <w:t>фортепиано</w:t>
      </w:r>
      <w:r>
        <w:rPr>
          <w:rFonts w:ascii="Times New Roman" w:hAnsi="Times New Roman"/>
          <w:i w:val="1"/>
          <w:sz w:val="28"/>
        </w:rPr>
        <w:t xml:space="preserve">: </w:t>
      </w:r>
      <w:r>
        <w:rPr>
          <w:rFonts w:ascii="Times New Roman" w:hAnsi="Times New Roman"/>
          <w:i w:val="1"/>
          <w:sz w:val="28"/>
        </w:rPr>
        <w:t>Поликарпова А.</w:t>
      </w:r>
      <w:r>
        <w:rPr>
          <w:rFonts w:ascii="Times New Roman" w:hAnsi="Times New Roman"/>
          <w:i w:val="1"/>
          <w:sz w:val="32"/>
        </w:rPr>
        <w:t>В.</w:t>
      </w:r>
    </w:p>
    <w:p w14:paraId="0E000000">
      <w:pPr>
        <w:spacing w:after="28" w:before="28" w:line="276" w:lineRule="auto"/>
        <w:ind w:firstLine="567" w:left="0" w:right="57"/>
        <w:jc w:val="right"/>
        <w:rPr>
          <w:rFonts w:ascii="Times New Roman" w:hAnsi="Times New Roman"/>
          <w:i w:val="1"/>
          <w:sz w:val="32"/>
        </w:rPr>
      </w:pPr>
    </w:p>
    <w:p w14:paraId="0F000000">
      <w:pPr>
        <w:spacing w:after="0" w:before="0"/>
        <w:ind w:firstLine="709" w:left="0" w:right="0"/>
        <w:jc w:val="center"/>
        <w:rPr>
          <w:rFonts w:ascii="Open Sans" w:hAnsi="Open Sans"/>
          <w:b w:val="0"/>
          <w:i w:val="0"/>
          <w:caps w:val="0"/>
          <w:color w:val="181818"/>
          <w:spacing w:val="0"/>
          <w:sz w:val="21"/>
          <w:highlight w:val="white"/>
        </w:rPr>
      </w:pPr>
      <w:r>
        <w:rPr>
          <w:rFonts w:ascii="Times New Roman" w:hAnsi="Times New Roman"/>
          <w:b w:val="1"/>
          <w:i w:val="0"/>
          <w:caps w:val="0"/>
          <w:color w:val="000000"/>
          <w:spacing w:val="0"/>
          <w:sz w:val="28"/>
          <w:highlight w:val="white"/>
        </w:rPr>
        <w:t>Введение.</w:t>
      </w:r>
    </w:p>
    <w:p w14:paraId="10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11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Одной из проблем, связанных с музыкальным воспитанием, является развитие технических способностей учащихся. В связи с этим, этюды являются неотъемлемой частью музыкального развития. По большей части на них нарабатываются двигательные навыки, навыки координации движений, осваиваются аппликатурные принципы и основные формулы движения, совершенствуется техническое мастерство (беглость, артикуляция, точность звукоизвлечения). Работа над этюдами позволяет активно развивать слуховой контроль, воспитывать такие качества как воля, выносливость, быстрота реакции, тем самым способствуя активизации и мобилизации состояния во время музицирования, поддерживает хорошую техническую форму.</w:t>
      </w:r>
    </w:p>
    <w:p w14:paraId="12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Жанр этюда известен с XVIII века. Среди композиторов, создававших этюды, наиболее известен Карл Черни - австрийский композитор-пианист, чех по национальности. Он является автором более тысячи фортепианных этюдов на разные виды техники, объединённые им в циклы (Школа беглости, Искусство беглости пальцев и др.). Каждый этюд заключает в себе определённую техническую трудность и служит для её преодоления. Например, такими трудностями могут быть: триоли, пунктирный ритм, четырёх- и пятипальцевые позиции, различные виды арпеджио, аккорды, гаммообразные пассажи, хроматические гаммы, октавы, скачки, трели и другие.</w:t>
      </w:r>
    </w:p>
    <w:p w14:paraId="13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Работа над этюдами начинается с самых первых шагов и продолжается на протяжении всей исполнительской деятельности. Этюды просты и лаконичны по форме и по содержанию, однотипны по фактурному изложению, и это способствует эффективному решению отдельно поставленных задач в освоении фортепианной техники. Благодаря этому свойству этюды широко применяются в педагогической практике.</w:t>
      </w:r>
    </w:p>
    <w:p w14:paraId="14000000">
      <w:pPr>
        <w:spacing w:after="0" w:before="0"/>
        <w:ind w:firstLine="0"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15000000">
      <w:pPr>
        <w:spacing w:after="0" w:before="240"/>
        <w:ind w:firstLine="709" w:left="0" w:right="0"/>
        <w:jc w:val="center"/>
        <w:rPr>
          <w:rFonts w:ascii="Open Sans" w:hAnsi="Open Sans"/>
          <w:b w:val="0"/>
          <w:i w:val="0"/>
          <w:caps w:val="0"/>
          <w:color w:val="181818"/>
          <w:spacing w:val="0"/>
          <w:sz w:val="21"/>
          <w:highlight w:val="white"/>
        </w:rPr>
      </w:pPr>
      <w:r>
        <w:rPr>
          <w:rFonts w:ascii="Times New Roman" w:hAnsi="Times New Roman"/>
          <w:b w:val="1"/>
          <w:i w:val="0"/>
          <w:caps w:val="0"/>
          <w:color w:val="000000"/>
          <w:spacing w:val="0"/>
          <w:sz w:val="28"/>
          <w:highlight w:val="white"/>
        </w:rPr>
        <w:t>Этюды в музыкальной школе.</w:t>
      </w:r>
    </w:p>
    <w:p w14:paraId="16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17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Большое значение имеет систематичность и последовательность в изучении этюдов, Они эффективно служат учащимся для развития технических навыков, Этюдные сочинения К. Черни, Л. Шитте, Г. Беренса. А. Гедике, А. Лемуана, Т. Лака, А. Бертини просты и непритязательны, вместе с тем они мелодичны и даже элегантны. Техническая задача поставлена в них исключительно ясно. Например, в этюдах К. Черни основное внимание уделяется именно типовым формам фортепьянной литературы XIX века. Целесообразно и удобно построена партия аккомпанемента. Обычно она не ставит дополнительных технических трудностей. Партия сопровождения призвана помочь ученику исполнить техническую формулу.</w:t>
      </w:r>
    </w:p>
    <w:p w14:paraId="18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Многие этюды отлично "тонизируют" руки, развивают гибкость и эластичность межкостных ладонных мышц. Это те произведения, фактура которых требует попеременно то собранного, то раскрытого положения ладони.</w:t>
      </w:r>
    </w:p>
    <w:p w14:paraId="19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Работа над этюдами позволяет воспитывать у учащихся точные ритмические навыки, метроритмическую организованность. Четкая равномерная пульсация обуславливает столь же четкие двигательные представления и, в частности, пальцевую ровность. Появление нового фигурационного рисунка обычно сопряжено с изменением метроритмической организации аккомпанемента, что помогает быстро переключать внимание с одной технической формулы на другую. Метроритм в таких случаях служит тем внутренним толчком, который способствует большей слуховой активности и более точным игровым ощущениям, ибо, как известно, восприятие временных соотношений тесно связано с двигательными моментами. Этюды не только содержат материал для технического совершенствования, но и ставят перед учащимися разнообразные и артикуляционные задачи.</w:t>
      </w:r>
    </w:p>
    <w:p w14:paraId="1A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Слуховой контроль ученика имеет принципиально важное значение при работе над ними. Поставленная в том или ином этюде технологическая задача может быть решена лишь при условии, что слуховое включение пианиста будет активизировано.</w:t>
      </w:r>
    </w:p>
    <w:p w14:paraId="1B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Чтобы извлечь из этюда максимальную пользу, важно обратить внимание не только на чисто технические задачи, но и на возможно более тщательную музыкальную отбелку произведения. Надо помнить, что работа над хорошим качеством звучания, над фразировкой даже в самых, казалось бы, элементарных технических фигурах, воспроизведение всех деталей голосоведения. Все это в большой степени способствует успешному преодолению технических трудностей. Ученик должен проникнуться мыслью, что достижение нужной беглости в этюдах, как и в любой пьесе художественной литературы, не цель, но лишь средство для выразительного красивого исполнения сочинения.</w:t>
      </w:r>
    </w:p>
    <w:p w14:paraId="1C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Специальное назначение этюдов вызывает необходимость особо пристального внимания к разрешению имеющихся в них технических трудностей. Для того чтобы эта работа велась более осознанно, ученику важно составить о них вполне ясное представление. Поэтому при знакомстве с новым этюдом, помимо обычного разбора нотного текста, полезно проделать разбор</w:t>
      </w:r>
      <w:r>
        <w:rPr>
          <w:rFonts w:ascii="Times New Roman" w:hAnsi="Times New Roman"/>
          <w:b w:val="0"/>
          <w:i w:val="0"/>
          <w:caps w:val="0"/>
          <w:color w:val="181818"/>
          <w:spacing w:val="0"/>
          <w:sz w:val="28"/>
          <w:highlight w:val="white"/>
        </w:rPr>
        <w:t> </w:t>
      </w:r>
      <w:r>
        <w:rPr>
          <w:rFonts w:ascii="Times New Roman" w:hAnsi="Times New Roman"/>
          <w:b w:val="0"/>
          <w:i w:val="1"/>
          <w:caps w:val="0"/>
          <w:color w:val="181818"/>
          <w:spacing w:val="0"/>
          <w:sz w:val="28"/>
          <w:highlight w:val="white"/>
        </w:rPr>
        <w:t>специально технический</w:t>
      </w:r>
      <w:r>
        <w:rPr>
          <w:rFonts w:ascii="Times New Roman" w:hAnsi="Times New Roman"/>
          <w:b w:val="0"/>
          <w:i w:val="0"/>
          <w:caps w:val="0"/>
          <w:color w:val="181818"/>
          <w:spacing w:val="0"/>
          <w:sz w:val="28"/>
          <w:highlight w:val="white"/>
        </w:rPr>
        <w:t> </w:t>
      </w:r>
      <w:r>
        <w:rPr>
          <w:rFonts w:ascii="Times New Roman" w:hAnsi="Times New Roman"/>
          <w:b w:val="0"/>
          <w:i w:val="0"/>
          <w:caps w:val="0"/>
          <w:color w:val="181818"/>
          <w:spacing w:val="0"/>
          <w:sz w:val="28"/>
          <w:highlight w:val="white"/>
        </w:rPr>
        <w:t>- выяснить характерные, с этой точки зрения, особенности его фактуры. В дальнейшей работе над преодолением технических трудностей следует применять всевозможные способы работы:</w:t>
      </w:r>
    </w:p>
    <w:p w14:paraId="1D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проигрывание в различных темпах;</w:t>
      </w:r>
    </w:p>
    <w:p w14:paraId="1E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вычленение;</w:t>
      </w:r>
    </w:p>
    <w:p w14:paraId="1F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ритмические варианты;</w:t>
      </w:r>
    </w:p>
    <w:p w14:paraId="20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транспонирование всего этюда или отдельных его построений в другие тональности;</w:t>
      </w:r>
    </w:p>
    <w:p w14:paraId="21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специальные упражнения.</w:t>
      </w:r>
    </w:p>
    <w:p w14:paraId="22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1"/>
          <w:i w:val="0"/>
          <w:caps w:val="0"/>
          <w:color w:val="000000"/>
          <w:spacing w:val="0"/>
          <w:sz w:val="28"/>
          <w:highlight w:val="white"/>
        </w:rPr>
        <w:t> </w:t>
      </w:r>
    </w:p>
    <w:p w14:paraId="23000000">
      <w:pPr>
        <w:spacing w:after="0" w:before="240"/>
        <w:ind w:firstLine="709" w:left="0" w:right="0"/>
        <w:jc w:val="center"/>
        <w:rPr>
          <w:rFonts w:ascii="Open Sans" w:hAnsi="Open Sans"/>
          <w:b w:val="0"/>
          <w:i w:val="0"/>
          <w:caps w:val="0"/>
          <w:color w:val="181818"/>
          <w:spacing w:val="0"/>
          <w:sz w:val="21"/>
          <w:highlight w:val="white"/>
        </w:rPr>
      </w:pPr>
      <w:r>
        <w:rPr>
          <w:rFonts w:ascii="Times New Roman" w:hAnsi="Times New Roman"/>
          <w:b w:val="1"/>
          <w:i w:val="0"/>
          <w:caps w:val="0"/>
          <w:color w:val="000000"/>
          <w:spacing w:val="0"/>
          <w:sz w:val="28"/>
          <w:highlight w:val="white"/>
        </w:rPr>
        <w:t>Работа над этюдами в младших классах.</w:t>
      </w:r>
      <w:r>
        <w:br/>
      </w:r>
      <w:r>
        <w:br/>
      </w:r>
    </w:p>
    <w:p w14:paraId="24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Уже в начальных классах становится возможным использовать относительно разнообразную пианистическую фактуру. В репертуар учащихся включаются этюды на элементы гамм, арпеджио, гармонические фигурации. Большое внимание следует уделять этюдам с развитой красивой мелодией незаменимым в выработке напевного legato.</w:t>
      </w:r>
    </w:p>
    <w:p w14:paraId="25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В начале обучения техническая литература исполняется в спокойных темпах. Слишком раннее форсирование беглости вызывает "зажатость" и "тряску" рук. По мере продвижения учащихся возможен переход к относительно подвижной игре.</w:t>
      </w:r>
    </w:p>
    <w:p w14:paraId="26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Как ни сужены рамки технической работы в 1-2 классах, ее перспективное значение велико. При опытном руководстве учащиеся делают первые шаги по пути овладения важнейшими умениями: зависимость технического задания от музыки (фраза - движение руки), объединение ряда звуков на одном движении, игра legato.</w:t>
      </w:r>
    </w:p>
    <w:p w14:paraId="27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Общие принципы технической работы остаются в силе и для учащихся 3-4 классов. Но значительно возрастают и углубляются технические требования, расширяется репертуар.</w:t>
      </w:r>
    </w:p>
    <w:p w14:paraId="28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Литературы для 3-4 классов характерна оптимистической определенностью и развитой фактурой (этюды на пальцевую, фигурационную, аккордовую технику, технику арпеджио, этюды со сложным мелодическим, гармоническим и ритмическим содержанием). Главный критерий при отборе этюдов - их художественная и педагогическая ценность. Единого техминимума не существует, хотя учащиеся должны владеть разносторонними приемами игры. Вместе с тем выбор этюдов бывает связан с необходимостью устранения конкретных технических неполадок. Например, при "зажатости" и скованности рук полезно сделать акцент на этюдах с элементами арпеджио, с использованием разных регистров; при плохом legato - на этюдах с выразительной мелодией и т.п.</w:t>
      </w:r>
    </w:p>
    <w:p w14:paraId="29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Сроки изучения этюдов должны быть гибкими. Не надо только растягивать на долгие месяцы изучение тех этюдов, которые по различным причинам трудны учащимся. Лучше на время оставить их и заниматься новыми.</w:t>
      </w:r>
    </w:p>
    <w:p w14:paraId="2A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Методика изучения этюдов зависит от данных учащихся и их продвинутости.</w:t>
      </w:r>
    </w:p>
    <w:p w14:paraId="2B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Первое требование - грамотный разбор текста. Сюда входит не только точное воспроизведение нотной записи, но и понимание декламационной структуры мелодических голосов (фразировки). На этой основе учащиеся сразу же должны находить правильные объединяющие движения. Первоначальный темп исполнения медленный, но не слишком. Внимание учащегося должно быть целиком направлено на естественную выразительность фразировки и певучесть. Этюд многократно проигрывается от начала до конца. Переход к подвижному темпу желателен л</w:t>
      </w:r>
      <w:r>
        <w:rPr>
          <w:rFonts w:ascii="Times New Roman" w:hAnsi="Times New Roman"/>
          <w:b w:val="0"/>
          <w:i w:val="0"/>
          <w:caps w:val="0"/>
          <w:color w:val="181818"/>
          <w:spacing w:val="0"/>
          <w:sz w:val="28"/>
          <w:highlight w:val="white"/>
          <w:u w:color="000000" w:val="single"/>
        </w:rPr>
        <w:t>ишь</w:t>
      </w:r>
      <w:r>
        <w:rPr>
          <w:rFonts w:ascii="Times New Roman" w:hAnsi="Times New Roman"/>
          <w:b w:val="0"/>
          <w:i w:val="0"/>
          <w:caps w:val="0"/>
          <w:color w:val="181818"/>
          <w:spacing w:val="0"/>
          <w:sz w:val="28"/>
          <w:highlight w:val="white"/>
        </w:rPr>
        <w:t> </w:t>
      </w:r>
      <w:r>
        <w:rPr>
          <w:rFonts w:ascii="Times New Roman" w:hAnsi="Times New Roman"/>
          <w:b w:val="0"/>
          <w:i w:val="0"/>
          <w:caps w:val="0"/>
          <w:color w:val="181818"/>
          <w:spacing w:val="0"/>
          <w:sz w:val="28"/>
          <w:highlight w:val="white"/>
        </w:rPr>
        <w:t>после того, как этюд выучен наизусть. Прибавление темпа осуществляется постепенно. Во всех случаях его движения остаются спокойными, неторопливыми. При подвижной игре отчетливо обнаруживаются недостатки. Как правило, они возникают в эпизодах с усложненным рисунком мелодии (смена фактурного изложения, перенос руки). Эти эпизоды тщательно прорабатываются отдельно и затем монтируются в общую ткань изложения.</w:t>
      </w:r>
    </w:p>
    <w:p w14:paraId="2C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Таким образом, изучение этюдов (после разбора) основывается на 3-х частном действии: игра целиком — работа над деталями — игра целиком. По поводу степени трудности изучаемых этюдов существуют разные точки зрения.</w:t>
      </w:r>
    </w:p>
    <w:p w14:paraId="2D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Одни педагоги являются сторонниками нетрудных этюдов, в которых учащиеся исполняют свободно, с блеском. Другие считают, что этюд всегда должен быть трудным, воспитывающим навыки, отсутствующие у ученика. Видимо, истина находится где-то посередине. И легкие, и трудные этюды полезны учащимся, если к ним обращаться своевременно.</w:t>
      </w:r>
    </w:p>
    <w:p w14:paraId="2E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Старинное выражение "играть как этюд" означало ремесленное отношение к музыке. Теперь это выражение теряет смысл: мы стремимся, чтобы этюды игрались "как пьесы". Иначе говоря, на техническую литературу переносятся принципы художественной литературы.</w:t>
      </w:r>
    </w:p>
    <w:p w14:paraId="2F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А в чем же тогда особенность технической работы? Прежде всего, в том, что в ней делается акцент на произведения виртуозного характера. Для исполнения этюда Черни не требуется эмоциональный подъем или лирическая настроенность, но необходимы другие качества интерпретации, связанные с хорошей фразировкой, напевным звучанием, четким ритмом и т.д. Здесь, как и везде, основой является слуховое восприятие.</w:t>
      </w:r>
    </w:p>
    <w:p w14:paraId="30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Для работы над техникой не безразлична фразировка мелодического голоса. Сплошь и рядом неправильное представление о структуре музыкальной речи отрицательно влияет на естественную координацию движений. Сюда относится пресловутое "забалтывание" пассажей, которое мешает нормальному продвижению учащихся. "Зажатость", "скованность", "тряска рук" - эти недостатки также часто проистекают от хронического невнимания к художественным задачам. Целесообразные и экономичные движения пианиста могут возникнуть лишь при точном выявлении рисунка мелодии (чередование активных и пассивных элементов в мелодии, кульминация и спад). Напротив, искажение фразировки может привести к "перегрузке" пальцев и, следовательно, к техническим помехам. Особенно это нежелательно в отношении слабых пальцев - 4 и 5. Установив однажды фразу и на ее основе объединяющие движения, пианист на должен менять их в процессе занятий.</w:t>
      </w:r>
    </w:p>
    <w:p w14:paraId="31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В младших классах необходимо уделять большое внимание важным элементам техники - гаммам и арпеджио. Для работы над ними используются различные этюды, в первую очередь Черни. Большинство многочисленных этюдов этого автора служит развитию мелкой пальцевой техники - быстроты, ровности и отчетливости исполнения. Особенно полезны они для тренировки в гаммах - виду техники, которому Черни придавал огромное значение.</w:t>
      </w:r>
    </w:p>
    <w:p w14:paraId="32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Многие этюды Черни не лишены и художественных достоинств. Примером такого сочинения может служить этюд</w:t>
      </w:r>
      <w:r>
        <w:rPr>
          <w:rFonts w:ascii="Times New Roman" w:hAnsi="Times New Roman"/>
          <w:b w:val="0"/>
          <w:i w:val="0"/>
          <w:caps w:val="0"/>
          <w:color w:val="181818"/>
          <w:spacing w:val="0"/>
          <w:sz w:val="28"/>
          <w:highlight w:val="white"/>
        </w:rPr>
        <w:t> </w:t>
      </w:r>
      <w:r>
        <w:rPr>
          <w:rFonts w:ascii="Segoe UI Symbol" w:hAnsi="Segoe UI Symbol"/>
          <w:b w:val="0"/>
          <w:i w:val="0"/>
          <w:caps w:val="0"/>
          <w:color w:val="181818"/>
          <w:spacing w:val="0"/>
          <w:sz w:val="28"/>
          <w:highlight w:val="white"/>
        </w:rPr>
        <w:t>№</w:t>
      </w:r>
      <w:r>
        <w:rPr>
          <w:rFonts w:ascii="Times New Roman" w:hAnsi="Times New Roman"/>
          <w:b w:val="0"/>
          <w:i w:val="0"/>
          <w:caps w:val="0"/>
          <w:color w:val="181818"/>
          <w:spacing w:val="0"/>
          <w:sz w:val="28"/>
          <w:highlight w:val="white"/>
        </w:rPr>
        <w:t> </w:t>
      </w:r>
      <w:r>
        <w:rPr>
          <w:rFonts w:ascii="Times New Roman" w:hAnsi="Times New Roman"/>
          <w:b w:val="0"/>
          <w:i w:val="0"/>
          <w:caps w:val="0"/>
          <w:color w:val="181818"/>
          <w:spacing w:val="0"/>
          <w:sz w:val="28"/>
          <w:highlight w:val="white"/>
        </w:rPr>
        <w:t>23 из I тетради Черни-Гермера. Этюд этот, задорно-скерциозного характера, разнообразен по фактуре. Он подготавливает не только к гаммам и арпеджио, но и к аккордам, и трели. Первая фигура в партии правой руке очень полезна в том отношении, что помогает лучше усвоить и научиться яснее играть 3 и 4 звуки в коротких арпеджио, которое нередко учениками "недобираются". Исполнять эти фигуры надо отчетливо, очень звонко, активными пальцами, при участии небольшого кистевого движения на звуках staccato.</w:t>
      </w:r>
    </w:p>
    <w:p w14:paraId="33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Полезно использовать подготовительные упражнения: поиграть те же фигуры с отдельных звуков различных трезвучий - основного тона, терции, квинты. Гаммы в этюде даны в виде небольших отрезков протяжением в одну октаву. Помимо этого, имеются пассажи из поз</w:t>
      </w:r>
      <w:r>
        <w:rPr>
          <w:rFonts w:ascii="Times New Roman" w:hAnsi="Times New Roman"/>
          <w:b w:val="0"/>
          <w:i w:val="0"/>
          <w:caps w:val="0"/>
          <w:color w:val="181818"/>
          <w:spacing w:val="0"/>
          <w:sz w:val="28"/>
          <w:highlight w:val="white"/>
          <w:u w:color="000000" w:val="single"/>
        </w:rPr>
        <w:t>ици</w:t>
      </w:r>
      <w:r>
        <w:rPr>
          <w:rFonts w:ascii="Times New Roman" w:hAnsi="Times New Roman"/>
          <w:b w:val="0"/>
          <w:i w:val="0"/>
          <w:caps w:val="0"/>
          <w:color w:val="181818"/>
          <w:spacing w:val="0"/>
          <w:sz w:val="28"/>
          <w:highlight w:val="white"/>
        </w:rPr>
        <w:t>онных фигур. Учить все эти последовательности надо в медленном темпе и методом вычленений.</w:t>
      </w:r>
    </w:p>
    <w:p w14:paraId="34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При подкладывании 1 пальца необходимо добиться того, чтобы движения его были плавными, и он опускался на клавишу без толчка.</w:t>
      </w:r>
    </w:p>
    <w:p w14:paraId="35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Среди наиболее трудных последовательностей шестнадцатыми надо отметить следующие такты в партии левой руки.</w:t>
      </w:r>
    </w:p>
    <w:p w14:paraId="36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Учащиеся часто не доигрывают или переигрывают трель, иногда "комкают" ее. Для устранения этих недостатков надо наметить опорные точки - особенно важно ясно ощутить и отметить легким акцентом момент смены движения, приходящийся на сильную долю такта. Подобное укрепление поворотных точек полезно делать во многих пассажах, например в этюде</w:t>
      </w:r>
      <w:r>
        <w:rPr>
          <w:rFonts w:ascii="Times New Roman" w:hAnsi="Times New Roman"/>
          <w:b w:val="0"/>
          <w:i w:val="0"/>
          <w:caps w:val="0"/>
          <w:color w:val="181818"/>
          <w:spacing w:val="0"/>
          <w:sz w:val="28"/>
          <w:highlight w:val="white"/>
        </w:rPr>
        <w:t> </w:t>
      </w:r>
      <w:r>
        <w:rPr>
          <w:rFonts w:ascii="Segoe UI Symbol" w:hAnsi="Segoe UI Symbol"/>
          <w:b w:val="0"/>
          <w:i w:val="0"/>
          <w:caps w:val="0"/>
          <w:color w:val="181818"/>
          <w:spacing w:val="0"/>
          <w:sz w:val="28"/>
          <w:highlight w:val="white"/>
        </w:rPr>
        <w:t>№</w:t>
      </w:r>
      <w:r>
        <w:rPr>
          <w:rFonts w:ascii="Times New Roman" w:hAnsi="Times New Roman"/>
          <w:b w:val="0"/>
          <w:i w:val="0"/>
          <w:caps w:val="0"/>
          <w:color w:val="181818"/>
          <w:spacing w:val="0"/>
          <w:sz w:val="28"/>
          <w:highlight w:val="white"/>
        </w:rPr>
        <w:t> </w:t>
      </w:r>
      <w:r>
        <w:rPr>
          <w:rFonts w:ascii="Times New Roman" w:hAnsi="Times New Roman"/>
          <w:b w:val="0"/>
          <w:i w:val="0"/>
          <w:caps w:val="0"/>
          <w:color w:val="181818"/>
          <w:spacing w:val="0"/>
          <w:sz w:val="28"/>
          <w:highlight w:val="white"/>
        </w:rPr>
        <w:t>4 II части этого сборника.</w:t>
      </w:r>
    </w:p>
    <w:p w14:paraId="37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Большое значение в разбираемом этюде имеет правильное исполнение аккордов. Аккорды staccato надо играть легко и остро, аккорды четвертями и половинными - полно, погружая руку в клавиатуру. В целом этюд должен прозвучать очень жизнерадостно и ритмически упруго.</w:t>
      </w:r>
    </w:p>
    <w:p w14:paraId="38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39000000">
      <w:pPr>
        <w:spacing w:after="0" w:before="240"/>
        <w:ind w:firstLine="709" w:left="0" w:right="0"/>
        <w:jc w:val="center"/>
        <w:rPr>
          <w:rFonts w:ascii="Open Sans" w:hAnsi="Open Sans"/>
          <w:b w:val="0"/>
          <w:i w:val="0"/>
          <w:caps w:val="0"/>
          <w:color w:val="181818"/>
          <w:spacing w:val="0"/>
          <w:sz w:val="21"/>
          <w:highlight w:val="white"/>
        </w:rPr>
      </w:pPr>
      <w:r>
        <w:rPr>
          <w:rFonts w:ascii="Times New Roman" w:hAnsi="Times New Roman"/>
          <w:b w:val="1"/>
          <w:i w:val="0"/>
          <w:caps w:val="0"/>
          <w:color w:val="000000"/>
          <w:spacing w:val="0"/>
          <w:sz w:val="28"/>
          <w:highlight w:val="white"/>
        </w:rPr>
        <w:t>Заключение.</w:t>
      </w:r>
      <w:r>
        <w:br/>
      </w:r>
    </w:p>
    <w:p w14:paraId="3A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Итак, можно сделать следующие выводы:</w:t>
      </w:r>
    </w:p>
    <w:p w14:paraId="3B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Разностороннее обучение игре на фортепиано предусматривает постоянную работу в этом направлении. Помимо систематических упражнений для развития технического мастерства, в фортепианной педагогической практике значительное место занимает  специальная работа над этюдами. В творчестве  выдающихся русских (советских) и западноевропейских композиторов этюд как форма высокохудожественного сочинения, занимает особое место. К этюдам, как к специфическому жанру фортепианной литературы, необходимо относиться с самым пристальным вниманием и с большой ответственностью.</w:t>
      </w:r>
    </w:p>
    <w:p w14:paraId="3C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Метод разучивания того или иного этюда тесно связан с самим материалом (типом и строением этюда), а так же зависит от степени подготовленности, возраста и индивидуальных особенностей ученика. Поэтому в методике работы над этюдами не следует придерживаться каких-либо универсальных штампов и приемов.</w:t>
      </w:r>
    </w:p>
    <w:p w14:paraId="3D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Работа над этюдами - это не только упражнения для развития кисти, пальцев - это физическая тренировка для достижения выносливости всего аппарата, укрепления</w:t>
      </w:r>
      <w:r>
        <w:rPr>
          <w:rFonts w:ascii="Courier New" w:hAnsi="Courier New"/>
          <w:b w:val="0"/>
          <w:i w:val="0"/>
          <w:caps w:val="0"/>
          <w:color w:val="000000"/>
          <w:spacing w:val="0"/>
          <w:sz w:val="24"/>
          <w:highlight w:val="white"/>
        </w:rPr>
        <w:t> </w:t>
      </w:r>
      <w:r>
        <w:rPr>
          <w:rFonts w:ascii="Times New Roman" w:hAnsi="Times New Roman"/>
          <w:b w:val="0"/>
          <w:i w:val="0"/>
          <w:caps w:val="0"/>
          <w:color w:val="181818"/>
          <w:spacing w:val="0"/>
          <w:sz w:val="28"/>
          <w:highlight w:val="white"/>
        </w:rPr>
        <w:t>пальцев. Эта работа вырабатывает у ученика чувство ритма, хорошее ощущение клавиатуры, ровный звук, певучесть.</w:t>
      </w:r>
    </w:p>
    <w:p w14:paraId="3E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Систематическое прохождение этюдов необходимо для успешного развития ученика. Значение этого жанра заключается в том, что этюды позволяют сосредоточиться на разрешении типичных исполнительских трудностей и что они сочетают специальные технические задачи с задачами музыкальными. Тем самым использование этюдов создает предпосылки для плодотворной работы над техникой.</w:t>
      </w:r>
    </w:p>
    <w:p w14:paraId="3F000000">
      <w:pPr>
        <w:spacing w:after="0" w:before="0"/>
        <w:ind w:firstLine="709"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Важно, чтобы работа над этюдами дополняла изучение художественных произведений: подготавливала к преодолению трудностей намеченного в индивидуальном плане произведения, углубляла и расширяла нужные для него технические навыки. И все же основное место в области технического развития учащегося в период обучения в школе остается за этюдами - самой разнообразной трудности, видов, стилей. Педагог умело сочетает их с художественными произведениями, ставящими серьезные для учащегося технические, а на более высоком уровне подготовки, и виртуозные цели.</w:t>
      </w:r>
    </w:p>
    <w:p w14:paraId="40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1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2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3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4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5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6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7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8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9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A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B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C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D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E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4F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50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51000000">
      <w:pPr>
        <w:spacing w:after="0" w:before="0"/>
        <w:ind w:firstLine="709" w:left="0" w:right="0"/>
        <w:jc w:val="left"/>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 </w:t>
      </w:r>
    </w:p>
    <w:p w14:paraId="52000000">
      <w:pPr>
        <w:spacing w:after="0" w:before="240"/>
        <w:ind w:firstLine="709" w:left="0" w:right="0"/>
        <w:jc w:val="center"/>
        <w:rPr>
          <w:rFonts w:ascii="Open Sans" w:hAnsi="Open Sans"/>
          <w:b w:val="0"/>
          <w:i w:val="0"/>
          <w:caps w:val="0"/>
          <w:color w:val="181818"/>
          <w:spacing w:val="0"/>
          <w:sz w:val="21"/>
          <w:highlight w:val="white"/>
        </w:rPr>
      </w:pPr>
      <w:r>
        <w:rPr>
          <w:rFonts w:ascii="Times New Roman" w:hAnsi="Times New Roman"/>
          <w:b w:val="1"/>
          <w:i w:val="0"/>
          <w:caps w:val="0"/>
          <w:color w:val="000000"/>
          <w:spacing w:val="0"/>
          <w:sz w:val="28"/>
          <w:highlight w:val="white"/>
        </w:rPr>
        <w:t>Список литературы.</w:t>
      </w:r>
      <w:r>
        <w:br/>
      </w:r>
      <w:r>
        <w:br/>
      </w:r>
    </w:p>
    <w:p w14:paraId="53000000">
      <w:pPr>
        <w:spacing w:after="0" w:before="0"/>
        <w:ind w:firstLine="567"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Артоболевская А.Д. Первая встреча с музыкой: учебное пособие. – СПб.: Композитор – Санкт-Петербург, 2013. – 84 с.</w:t>
      </w:r>
    </w:p>
    <w:p w14:paraId="54000000">
      <w:pPr>
        <w:spacing w:after="0" w:before="0"/>
        <w:ind w:firstLine="567"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Балацкая А.В., Петрова Н.А. Играть легко! Учебно-методическое пособие по фортепиано для начинающих. – М.: Классика-XXI, 2013. – 72 с.</w:t>
      </w:r>
    </w:p>
    <w:p w14:paraId="55000000">
      <w:pPr>
        <w:spacing w:after="0" w:before="0"/>
        <w:ind w:firstLine="567"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Брянская Ф.Д. Формирование и развитие навыка игры с листа в первые годы обучения пианиста. – М.: Классика-ХХI, 2011. – 68 с.</w:t>
      </w:r>
    </w:p>
    <w:p w14:paraId="56000000">
      <w:pPr>
        <w:spacing w:after="0" w:before="0"/>
        <w:ind w:firstLine="567"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Геталова О.А. Общий курс фортепиано: авторская программа для ДМШ и ДШИ (семилетнее и пятилетнее обучение).- СПб.: Композитор – Санкт-Петербург, 2009. – 46 с.</w:t>
      </w:r>
    </w:p>
    <w:p w14:paraId="57000000">
      <w:pPr>
        <w:spacing w:after="0" w:before="0"/>
        <w:ind w:firstLine="567"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Геталова О.А. Общий курс фортепиано: авторская программа для ДМШ и ДШИ (пятилетнее обучение).- СПб.: Композитор – Санкт-Петербург, 2009 – 36 с.</w:t>
      </w:r>
    </w:p>
    <w:p w14:paraId="58000000">
      <w:pPr>
        <w:spacing w:after="0" w:before="0"/>
        <w:ind w:firstLine="567"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Гринштейн С. Великие фортепианные педагоги прошлого. – СПб.: Композитор – Санкт-Петербург, 2004. – 144 с.</w:t>
      </w:r>
    </w:p>
    <w:p w14:paraId="59000000">
      <w:pPr>
        <w:spacing w:after="0" w:before="0"/>
        <w:ind w:firstLine="567"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Нейгауз, Г.Г. Об искусстве фортепианной игры: Записки педагога / Г.Г. Нейгауз. - М.: Классика - XXI, 1999. - 232 с.</w:t>
      </w:r>
    </w:p>
    <w:p w14:paraId="5A000000">
      <w:pPr>
        <w:spacing w:after="0" w:before="0"/>
        <w:ind w:firstLine="567"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Подбираю на рояле. Практический курс гармонии для младших классов детских музыкальных школ и детских школ искусств. Рабочая тетрадь для учащихся/Сост. О.Г. Артемьева – СПб.: Композитор – Санкт-Петербург, 2009. – 92 с</w:t>
      </w:r>
    </w:p>
    <w:p w14:paraId="5B000000">
      <w:pPr>
        <w:spacing w:after="0" w:before="0"/>
        <w:ind w:firstLine="567" w:left="0" w:right="0"/>
        <w:jc w:val="both"/>
        <w:rPr>
          <w:rFonts w:ascii="Open Sans" w:hAnsi="Open Sans"/>
          <w:b w:val="0"/>
          <w:i w:val="0"/>
          <w:caps w:val="0"/>
          <w:color w:val="181818"/>
          <w:spacing w:val="0"/>
          <w:sz w:val="21"/>
          <w:highlight w:val="white"/>
        </w:rPr>
      </w:pPr>
      <w:r>
        <w:rPr>
          <w:rFonts w:ascii="Times New Roman" w:hAnsi="Times New Roman"/>
          <w:b w:val="0"/>
          <w:i w:val="0"/>
          <w:caps w:val="0"/>
          <w:color w:val="181818"/>
          <w:spacing w:val="0"/>
          <w:sz w:val="28"/>
          <w:highlight w:val="white"/>
        </w:rPr>
        <w:t>•</w:t>
      </w:r>
      <w:r>
        <w:rPr>
          <w:rFonts w:ascii="Times New Roman" w:hAnsi="Times New Roman"/>
          <w:b w:val="0"/>
          <w:i w:val="0"/>
          <w:caps w:val="0"/>
          <w:color w:val="181818"/>
          <w:spacing w:val="0"/>
          <w:sz w:val="14"/>
          <w:highlight w:val="white"/>
        </w:rPr>
        <w:t> </w:t>
      </w:r>
      <w:r>
        <w:rPr>
          <w:rFonts w:ascii="Times New Roman" w:hAnsi="Times New Roman"/>
          <w:b w:val="0"/>
          <w:i w:val="0"/>
          <w:caps w:val="0"/>
          <w:color w:val="181818"/>
          <w:spacing w:val="0"/>
          <w:sz w:val="28"/>
          <w:highlight w:val="white"/>
        </w:rPr>
        <w:t>Терентьева, Н.А. Карл Черни и его этюды / Н.А. Терентьева. - М.: МГК, 1999. - 125 с.</w:t>
      </w:r>
    </w:p>
    <w:p w14:paraId="5C000000">
      <w:pPr>
        <w:spacing w:after="28" w:before="28" w:line="276" w:lineRule="auto"/>
        <w:ind w:firstLine="567" w:left="0" w:right="57"/>
        <w:jc w:val="right"/>
        <w:rPr>
          <w:rFonts w:ascii="Times New Roman" w:hAnsi="Times New Roman"/>
          <w:i w:val="1"/>
          <w:sz w:val="32"/>
        </w:rPr>
      </w:pPr>
    </w:p>
    <w:sectPr>
      <w:headerReference r:id="rId1" w:type="default"/>
      <w:footerReference r:id="rId2" w:type="default"/>
      <w:pgSz w:h="16838" w:orient="portrait" w:w="11906"/>
      <w:pgMar w:bottom="1440" w:footer="720" w:gutter="0" w:header="720" w:left="1275" w:right="849" w:top="851"/>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2000000">
    <w:pPr>
      <w:pStyle w:val="Style_2"/>
      <w:ind/>
      <w:jc w:val="center"/>
    </w:pPr>
  </w:p>
  <w:p w14:paraId="03000000">
    <w:pPr>
      <w:pStyle w:val="Style_2"/>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5000000">
    <w:pPr>
      <w:pStyle w:val="Style_2"/>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4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rPr>
      <w:rFonts w:ascii="Cambria" w:hAnsi="Cambria"/>
      <w:sz w:val="24"/>
    </w:rPr>
  </w:style>
  <w:style w:default="1" w:styleId="Style_3_ch" w:type="character">
    <w:name w:val="Normal"/>
    <w:link w:val="Style_3"/>
    <w:rPr>
      <w:rFonts w:ascii="Cambria" w:hAnsi="Cambria"/>
      <w:sz w:val="24"/>
    </w:rPr>
  </w:style>
  <w:style w:styleId="Style_4" w:type="paragraph">
    <w:name w:val="toc 2"/>
    <w:next w:val="Style_3"/>
    <w:link w:val="Style_4_ch"/>
    <w:uiPriority w:val="39"/>
    <w:pPr>
      <w:ind w:firstLine="0" w:left="200"/>
      <w:jc w:val="left"/>
    </w:pPr>
    <w:rPr>
      <w:rFonts w:ascii="XO Thames" w:hAnsi="XO Thames"/>
      <w:sz w:val="28"/>
    </w:rPr>
  </w:style>
  <w:style w:styleId="Style_4_ch" w:type="character">
    <w:name w:val="toc 2"/>
    <w:link w:val="Style_4"/>
    <w:rPr>
      <w:rFonts w:ascii="XO Thames" w:hAnsi="XO Thames"/>
      <w:sz w:val="28"/>
    </w:rPr>
  </w:style>
  <w:style w:styleId="Style_5" w:type="paragraph">
    <w:name w:val="toc 4"/>
    <w:next w:val="Style_3"/>
    <w:link w:val="Style_5_ch"/>
    <w:uiPriority w:val="39"/>
    <w:pPr>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Название1"/>
    <w:basedOn w:val="Style_3"/>
    <w:link w:val="Style_6_ch"/>
    <w:pPr>
      <w:spacing w:after="120" w:before="120"/>
      <w:ind/>
    </w:pPr>
    <w:rPr>
      <w:i w:val="1"/>
      <w:sz w:val="24"/>
    </w:rPr>
  </w:style>
  <w:style w:styleId="Style_6_ch" w:type="character">
    <w:name w:val="Название1"/>
    <w:basedOn w:val="Style_3_ch"/>
    <w:link w:val="Style_6"/>
    <w:rPr>
      <w:i w:val="1"/>
      <w:sz w:val="24"/>
    </w:rPr>
  </w:style>
  <w:style w:styleId="Style_7" w:type="paragraph">
    <w:name w:val="toc 6"/>
    <w:next w:val="Style_3"/>
    <w:link w:val="Style_7_ch"/>
    <w:uiPriority w:val="39"/>
    <w:pPr>
      <w:ind w:firstLine="0" w:left="1000"/>
      <w:jc w:val="left"/>
    </w:pPr>
    <w:rPr>
      <w:rFonts w:ascii="XO Thames" w:hAnsi="XO Thames"/>
      <w:sz w:val="28"/>
    </w:rPr>
  </w:style>
  <w:style w:styleId="Style_7_ch" w:type="character">
    <w:name w:val="toc 6"/>
    <w:link w:val="Style_7"/>
    <w:rPr>
      <w:rFonts w:ascii="XO Thames" w:hAnsi="XO Thames"/>
      <w:sz w:val="28"/>
    </w:rPr>
  </w:style>
  <w:style w:styleId="Style_8" w:type="paragraph">
    <w:name w:val="toc 7"/>
    <w:next w:val="Style_3"/>
    <w:link w:val="Style_8_ch"/>
    <w:uiPriority w:val="39"/>
    <w:pPr>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Другое"/>
    <w:basedOn w:val="Style_3"/>
    <w:link w:val="Style_9_ch"/>
    <w:pPr>
      <w:widowControl w:val="0"/>
      <w:spacing w:after="200" w:line="360" w:lineRule="auto"/>
      <w:ind w:firstLine="400" w:left="0"/>
    </w:pPr>
    <w:rPr>
      <w:rFonts w:ascii="Times New Roman" w:hAnsi="Times New Roman"/>
      <w:sz w:val="28"/>
    </w:rPr>
  </w:style>
  <w:style w:styleId="Style_9_ch" w:type="character">
    <w:name w:val="Другое"/>
    <w:basedOn w:val="Style_3_ch"/>
    <w:link w:val="Style_9"/>
    <w:rPr>
      <w:rFonts w:ascii="Times New Roman" w:hAnsi="Times New Roman"/>
      <w:sz w:val="28"/>
    </w:rPr>
  </w:style>
  <w:style w:styleId="Style_10" w:type="paragraph">
    <w:name w:val="Заголовок"/>
    <w:basedOn w:val="Style_3"/>
    <w:next w:val="Style_11"/>
    <w:link w:val="Style_10_ch"/>
    <w:pPr>
      <w:keepNext w:val="1"/>
      <w:spacing w:after="120" w:before="240"/>
      <w:ind/>
    </w:pPr>
    <w:rPr>
      <w:rFonts w:ascii="Arial" w:hAnsi="Arial"/>
      <w:sz w:val="28"/>
    </w:rPr>
  </w:style>
  <w:style w:styleId="Style_10_ch" w:type="character">
    <w:name w:val="Заголовок"/>
    <w:basedOn w:val="Style_3_ch"/>
    <w:link w:val="Style_10"/>
    <w:rPr>
      <w:rFonts w:ascii="Arial" w:hAnsi="Arial"/>
      <w:sz w:val="28"/>
    </w:rPr>
  </w:style>
  <w:style w:styleId="Style_12" w:type="paragraph">
    <w:name w:val="heading 3"/>
    <w:next w:val="Style_3"/>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3" w:type="paragraph">
    <w:name w:val="List Paragraph"/>
    <w:basedOn w:val="Style_3"/>
    <w:link w:val="Style_13_ch"/>
    <w:pPr>
      <w:ind w:firstLine="0" w:left="720" w:right="0"/>
    </w:pPr>
  </w:style>
  <w:style w:styleId="Style_13_ch" w:type="character">
    <w:name w:val="List Paragraph"/>
    <w:basedOn w:val="Style_3_ch"/>
    <w:link w:val="Style_13"/>
  </w:style>
  <w:style w:styleId="Style_14" w:type="paragraph">
    <w:name w:val="c2"/>
    <w:link w:val="Style_14_ch"/>
  </w:style>
  <w:style w:styleId="Style_14_ch" w:type="character">
    <w:name w:val="c2"/>
    <w:link w:val="Style_14"/>
  </w:style>
  <w:style w:styleId="Style_15" w:type="paragraph">
    <w:name w:val="WW8Num1z2"/>
    <w:link w:val="Style_15_ch"/>
    <w:rPr>
      <w:rFonts w:ascii="Wingdings" w:hAnsi="Wingdings"/>
    </w:rPr>
  </w:style>
  <w:style w:styleId="Style_15_ch" w:type="character">
    <w:name w:val="WW8Num1z2"/>
    <w:link w:val="Style_15"/>
    <w:rPr>
      <w:rFonts w:ascii="Wingdings" w:hAnsi="Wingdings"/>
    </w:rPr>
  </w:style>
  <w:style w:styleId="Style_16" w:type="paragraph">
    <w:name w:val="Default Paragraph Font"/>
    <w:link w:val="Style_16_ch"/>
  </w:style>
  <w:style w:styleId="Style_16_ch" w:type="character">
    <w:name w:val="Default Paragraph Font"/>
    <w:link w:val="Style_16"/>
  </w:style>
  <w:style w:styleId="Style_17" w:type="paragraph">
    <w:name w:val="Символ нумерации"/>
    <w:link w:val="Style_17_ch"/>
  </w:style>
  <w:style w:styleId="Style_17_ch" w:type="character">
    <w:name w:val="Символ нумерации"/>
    <w:link w:val="Style_17"/>
  </w:style>
  <w:style w:styleId="Style_18" w:type="paragraph">
    <w:name w:val="List"/>
    <w:basedOn w:val="Style_11"/>
    <w:link w:val="Style_18_ch"/>
  </w:style>
  <w:style w:styleId="Style_18_ch" w:type="character">
    <w:name w:val="List"/>
    <w:basedOn w:val="Style_11_ch"/>
    <w:link w:val="Style_18"/>
  </w:style>
  <w:style w:styleId="Style_2" w:type="paragraph">
    <w:name w:val="footer"/>
    <w:basedOn w:val="Style_3"/>
    <w:link w:val="Style_2_ch"/>
    <w:pPr>
      <w:tabs>
        <w:tab w:leader="none" w:pos="4680" w:val="center"/>
        <w:tab w:leader="none" w:pos="9360" w:val="right"/>
      </w:tabs>
      <w:ind/>
    </w:pPr>
  </w:style>
  <w:style w:styleId="Style_2_ch" w:type="character">
    <w:name w:val="footer"/>
    <w:basedOn w:val="Style_3_ch"/>
    <w:link w:val="Style_2"/>
  </w:style>
  <w:style w:styleId="Style_19" w:type="paragraph">
    <w:name w:val="toc 3"/>
    <w:next w:val="Style_3"/>
    <w:link w:val="Style_19_ch"/>
    <w:uiPriority w:val="39"/>
    <w:pPr>
      <w:ind w:firstLine="0" w:left="400"/>
      <w:jc w:val="left"/>
    </w:pPr>
    <w:rPr>
      <w:rFonts w:ascii="XO Thames" w:hAnsi="XO Thames"/>
      <w:sz w:val="28"/>
    </w:rPr>
  </w:style>
  <w:style w:styleId="Style_19_ch" w:type="character">
    <w:name w:val="toc 3"/>
    <w:link w:val="Style_19"/>
    <w:rPr>
      <w:rFonts w:ascii="XO Thames" w:hAnsi="XO Thames"/>
      <w:sz w:val="28"/>
    </w:rPr>
  </w:style>
  <w:style w:styleId="Style_20" w:type="paragraph">
    <w:name w:val="WW8Num1z1"/>
    <w:link w:val="Style_20_ch"/>
    <w:rPr>
      <w:rFonts w:ascii="Courier New" w:hAnsi="Courier New"/>
    </w:rPr>
  </w:style>
  <w:style w:styleId="Style_20_ch" w:type="character">
    <w:name w:val="WW8Num1z1"/>
    <w:link w:val="Style_20"/>
    <w:rPr>
      <w:rFonts w:ascii="Courier New" w:hAnsi="Courier New"/>
    </w:rPr>
  </w:style>
  <w:style w:styleId="Style_21" w:type="paragraph">
    <w:name w:val="Подпись к таблице"/>
    <w:basedOn w:val="Style_3"/>
    <w:link w:val="Style_21_ch"/>
    <w:pPr>
      <w:widowControl w:val="0"/>
      <w:ind/>
    </w:pPr>
    <w:rPr>
      <w:rFonts w:ascii="Times New Roman" w:hAnsi="Times New Roman"/>
      <w:sz w:val="22"/>
    </w:rPr>
  </w:style>
  <w:style w:styleId="Style_21_ch" w:type="character">
    <w:name w:val="Подпись к таблице"/>
    <w:basedOn w:val="Style_3_ch"/>
    <w:link w:val="Style_21"/>
    <w:rPr>
      <w:rFonts w:ascii="Times New Roman" w:hAnsi="Times New Roman"/>
      <w:sz w:val="22"/>
    </w:rPr>
  </w:style>
  <w:style w:styleId="Style_22" w:type="paragraph">
    <w:name w:val="heading 5"/>
    <w:next w:val="Style_3"/>
    <w:link w:val="Style_22_ch"/>
    <w:uiPriority w:val="9"/>
    <w:qFormat/>
    <w:pPr>
      <w:spacing w:after="120" w:before="120"/>
      <w:ind/>
      <w:jc w:val="both"/>
      <w:outlineLvl w:val="4"/>
    </w:pPr>
    <w:rPr>
      <w:rFonts w:ascii="XO Thames" w:hAnsi="XO Thames"/>
      <w:b w:val="1"/>
      <w:sz w:val="22"/>
    </w:rPr>
  </w:style>
  <w:style w:styleId="Style_22_ch" w:type="character">
    <w:name w:val="heading 5"/>
    <w:link w:val="Style_22"/>
    <w:rPr>
      <w:rFonts w:ascii="XO Thames" w:hAnsi="XO Thames"/>
      <w:b w:val="1"/>
      <w:sz w:val="22"/>
    </w:rPr>
  </w:style>
  <w:style w:styleId="Style_23" w:type="paragraph">
    <w:name w:val="Маркеры списка"/>
    <w:link w:val="Style_23_ch"/>
    <w:rPr>
      <w:rFonts w:ascii="OpenSymbol" w:hAnsi="OpenSymbol"/>
    </w:rPr>
  </w:style>
  <w:style w:styleId="Style_23_ch" w:type="character">
    <w:name w:val="Маркеры списка"/>
    <w:link w:val="Style_23"/>
    <w:rPr>
      <w:rFonts w:ascii="OpenSymbol" w:hAnsi="OpenSymbol"/>
    </w:rPr>
  </w:style>
  <w:style w:styleId="Style_24" w:type="paragraph">
    <w:name w:val="heading 1"/>
    <w:next w:val="Style_3"/>
    <w:link w:val="Style_24_ch"/>
    <w:uiPriority w:val="9"/>
    <w:qFormat/>
    <w:pPr>
      <w:spacing w:after="120" w:before="120"/>
      <w:ind/>
      <w:jc w:val="both"/>
      <w:outlineLvl w:val="0"/>
    </w:pPr>
    <w:rPr>
      <w:rFonts w:ascii="XO Thames" w:hAnsi="XO Thames"/>
      <w:b w:val="1"/>
      <w:sz w:val="32"/>
    </w:rPr>
  </w:style>
  <w:style w:styleId="Style_24_ch" w:type="character">
    <w:name w:val="heading 1"/>
    <w:link w:val="Style_24"/>
    <w:rPr>
      <w:rFonts w:ascii="XO Thames" w:hAnsi="XO Thames"/>
      <w:b w:val="1"/>
      <w:sz w:val="32"/>
    </w:rPr>
  </w:style>
  <w:style w:styleId="Style_25" w:type="paragraph">
    <w:name w:val="Hyperlink"/>
    <w:link w:val="Style_25_ch"/>
    <w:rPr>
      <w:color w:val="0000FF"/>
      <w:u w:val="single"/>
    </w:rPr>
  </w:style>
  <w:style w:styleId="Style_25_ch" w:type="character">
    <w:name w:val="Hyperlink"/>
    <w:link w:val="Style_25"/>
    <w:rPr>
      <w:color w:val="0000FF"/>
      <w:u w:val="single"/>
    </w:rPr>
  </w:style>
  <w:style w:styleId="Style_26" w:type="paragraph">
    <w:name w:val="Footnote"/>
    <w:basedOn w:val="Style_3"/>
    <w:link w:val="Style_26_ch"/>
    <w:pPr>
      <w:ind w:hanging="283" w:left="283" w:right="0"/>
    </w:pPr>
    <w:rPr>
      <w:sz w:val="20"/>
    </w:rPr>
  </w:style>
  <w:style w:styleId="Style_26_ch" w:type="character">
    <w:name w:val="Footnote"/>
    <w:basedOn w:val="Style_3_ch"/>
    <w:link w:val="Style_26"/>
    <w:rPr>
      <w:sz w:val="20"/>
    </w:rPr>
  </w:style>
  <w:style w:styleId="Style_27" w:type="paragraph">
    <w:name w:val="toc 1"/>
    <w:next w:val="Style_3"/>
    <w:link w:val="Style_27_ch"/>
    <w:uiPriority w:val="39"/>
    <w:pPr>
      <w:ind w:firstLine="0" w:left="0"/>
      <w:jc w:val="left"/>
    </w:pPr>
    <w:rPr>
      <w:rFonts w:ascii="XO Thames" w:hAnsi="XO Thames"/>
      <w:b w:val="1"/>
      <w:sz w:val="28"/>
    </w:rPr>
  </w:style>
  <w:style w:styleId="Style_27_ch" w:type="character">
    <w:name w:val="toc 1"/>
    <w:link w:val="Style_27"/>
    <w:rPr>
      <w:rFonts w:ascii="XO Thames" w:hAnsi="XO Thames"/>
      <w:b w:val="1"/>
      <w:sz w:val="28"/>
    </w:rPr>
  </w:style>
  <w:style w:styleId="Style_28" w:type="paragraph">
    <w:name w:val="Header and Footer"/>
    <w:link w:val="Style_28_ch"/>
    <w:pPr>
      <w:spacing w:line="240" w:lineRule="auto"/>
      <w:ind/>
      <w:jc w:val="both"/>
    </w:pPr>
    <w:rPr>
      <w:rFonts w:ascii="XO Thames" w:hAnsi="XO Thames"/>
      <w:sz w:val="20"/>
    </w:rPr>
  </w:style>
  <w:style w:styleId="Style_28_ch" w:type="character">
    <w:name w:val="Header and Footer"/>
    <w:link w:val="Style_28"/>
    <w:rPr>
      <w:rFonts w:ascii="XO Thames" w:hAnsi="XO Thames"/>
      <w:sz w:val="20"/>
    </w:rPr>
  </w:style>
  <w:style w:styleId="Style_29" w:type="paragraph">
    <w:name w:val="Подпись к картинке"/>
    <w:basedOn w:val="Style_3"/>
    <w:link w:val="Style_29_ch"/>
    <w:pPr>
      <w:widowControl w:val="0"/>
      <w:ind/>
    </w:pPr>
    <w:rPr>
      <w:rFonts w:ascii="Times New Roman" w:hAnsi="Times New Roman"/>
      <w:sz w:val="22"/>
    </w:rPr>
  </w:style>
  <w:style w:styleId="Style_29_ch" w:type="character">
    <w:name w:val="Подпись к картинке"/>
    <w:basedOn w:val="Style_3_ch"/>
    <w:link w:val="Style_29"/>
    <w:rPr>
      <w:rFonts w:ascii="Times New Roman" w:hAnsi="Times New Roman"/>
      <w:sz w:val="22"/>
    </w:rPr>
  </w:style>
  <w:style w:styleId="Style_30" w:type="paragraph">
    <w:name w:val="toc 9"/>
    <w:next w:val="Style_3"/>
    <w:link w:val="Style_30_ch"/>
    <w:uiPriority w:val="39"/>
    <w:pPr>
      <w:ind w:firstLine="0" w:left="1600"/>
      <w:jc w:val="left"/>
    </w:pPr>
    <w:rPr>
      <w:rFonts w:ascii="XO Thames" w:hAnsi="XO Thames"/>
      <w:sz w:val="28"/>
    </w:rPr>
  </w:style>
  <w:style w:styleId="Style_30_ch" w:type="character">
    <w:name w:val="toc 9"/>
    <w:link w:val="Style_30"/>
    <w:rPr>
      <w:rFonts w:ascii="XO Thames" w:hAnsi="XO Thames"/>
      <w:sz w:val="28"/>
    </w:rPr>
  </w:style>
  <w:style w:styleId="Style_31" w:type="paragraph">
    <w:name w:val="toc 8"/>
    <w:next w:val="Style_3"/>
    <w:link w:val="Style_31_ch"/>
    <w:uiPriority w:val="39"/>
    <w:pPr>
      <w:ind w:firstLine="0" w:left="1400"/>
      <w:jc w:val="left"/>
    </w:pPr>
    <w:rPr>
      <w:rFonts w:ascii="XO Thames" w:hAnsi="XO Thames"/>
      <w:sz w:val="28"/>
    </w:rPr>
  </w:style>
  <w:style w:styleId="Style_31_ch" w:type="character">
    <w:name w:val="toc 8"/>
    <w:link w:val="Style_31"/>
    <w:rPr>
      <w:rFonts w:ascii="XO Thames" w:hAnsi="XO Thames"/>
      <w:sz w:val="28"/>
    </w:rPr>
  </w:style>
  <w:style w:styleId="Style_32" w:type="paragraph">
    <w:name w:val="Основной шрифт абзаца_0"/>
    <w:link w:val="Style_32_ch"/>
  </w:style>
  <w:style w:styleId="Style_32_ch" w:type="character">
    <w:name w:val="Основной шрифт абзаца_0"/>
    <w:link w:val="Style_32"/>
  </w:style>
  <w:style w:styleId="Style_11" w:type="paragraph">
    <w:name w:val="Body Text"/>
    <w:basedOn w:val="Style_3"/>
    <w:link w:val="Style_11_ch"/>
    <w:pPr>
      <w:spacing w:after="120" w:before="0"/>
      <w:ind/>
    </w:pPr>
  </w:style>
  <w:style w:styleId="Style_11_ch" w:type="character">
    <w:name w:val="Body Text"/>
    <w:basedOn w:val="Style_3_ch"/>
    <w:link w:val="Style_11"/>
  </w:style>
  <w:style w:styleId="Style_33" w:type="paragraph">
    <w:name w:val="toc 5"/>
    <w:next w:val="Style_3"/>
    <w:link w:val="Style_33_ch"/>
    <w:uiPriority w:val="39"/>
    <w:pPr>
      <w:ind w:firstLine="0" w:left="800"/>
      <w:jc w:val="left"/>
    </w:pPr>
    <w:rPr>
      <w:rFonts w:ascii="XO Thames" w:hAnsi="XO Thames"/>
      <w:sz w:val="28"/>
    </w:rPr>
  </w:style>
  <w:style w:styleId="Style_33_ch" w:type="character">
    <w:name w:val="toc 5"/>
    <w:link w:val="Style_33"/>
    <w:rPr>
      <w:rFonts w:ascii="XO Thames" w:hAnsi="XO Thames"/>
      <w:sz w:val="28"/>
    </w:rPr>
  </w:style>
  <w:style w:styleId="Style_34" w:type="paragraph">
    <w:name w:val="Основной текст1"/>
    <w:basedOn w:val="Style_3"/>
    <w:link w:val="Style_34_ch"/>
    <w:pPr>
      <w:widowControl w:val="0"/>
      <w:spacing w:after="200" w:line="360" w:lineRule="auto"/>
      <w:ind w:firstLine="400" w:left="0"/>
    </w:pPr>
    <w:rPr>
      <w:rFonts w:ascii="Times New Roman" w:hAnsi="Times New Roman"/>
      <w:sz w:val="28"/>
    </w:rPr>
  </w:style>
  <w:style w:styleId="Style_34_ch" w:type="character">
    <w:name w:val="Основной текст1"/>
    <w:basedOn w:val="Style_3_ch"/>
    <w:link w:val="Style_34"/>
    <w:rPr>
      <w:rFonts w:ascii="Times New Roman" w:hAnsi="Times New Roman"/>
      <w:sz w:val="28"/>
    </w:rPr>
  </w:style>
  <w:style w:styleId="Style_35" w:type="paragraph">
    <w:name w:val="Указатель1"/>
    <w:basedOn w:val="Style_3"/>
    <w:link w:val="Style_35_ch"/>
  </w:style>
  <w:style w:styleId="Style_35_ch" w:type="character">
    <w:name w:val="Указатель1"/>
    <w:basedOn w:val="Style_3_ch"/>
    <w:link w:val="Style_35"/>
  </w:style>
  <w:style w:styleId="Style_36" w:type="paragraph">
    <w:name w:val="Subtitle"/>
    <w:next w:val="Style_3"/>
    <w:link w:val="Style_36_ch"/>
    <w:uiPriority w:val="11"/>
    <w:qFormat/>
    <w:pPr>
      <w:ind/>
      <w:jc w:val="both"/>
    </w:pPr>
    <w:rPr>
      <w:rFonts w:ascii="XO Thames" w:hAnsi="XO Thames"/>
      <w:i w:val="1"/>
      <w:sz w:val="24"/>
    </w:rPr>
  </w:style>
  <w:style w:styleId="Style_36_ch" w:type="character">
    <w:name w:val="Subtitle"/>
    <w:link w:val="Style_36"/>
    <w:rPr>
      <w:rFonts w:ascii="XO Thames" w:hAnsi="XO Thames"/>
      <w:i w:val="1"/>
      <w:sz w:val="24"/>
    </w:rPr>
  </w:style>
  <w:style w:styleId="Style_1" w:type="paragraph">
    <w:name w:val="header"/>
    <w:basedOn w:val="Style_3"/>
    <w:link w:val="Style_1_ch"/>
    <w:pPr>
      <w:tabs>
        <w:tab w:leader="none" w:pos="4680" w:val="center"/>
        <w:tab w:leader="none" w:pos="9360" w:val="right"/>
      </w:tabs>
      <w:ind/>
    </w:pPr>
  </w:style>
  <w:style w:styleId="Style_1_ch" w:type="character">
    <w:name w:val="header"/>
    <w:basedOn w:val="Style_3_ch"/>
    <w:link w:val="Style_1"/>
  </w:style>
  <w:style w:styleId="Style_37" w:type="paragraph">
    <w:name w:val="WW8Num1z0"/>
    <w:link w:val="Style_37_ch"/>
    <w:rPr>
      <w:rFonts w:ascii="Symbol" w:hAnsi="Symbol"/>
    </w:rPr>
  </w:style>
  <w:style w:styleId="Style_37_ch" w:type="character">
    <w:name w:val="WW8Num1z0"/>
    <w:link w:val="Style_37"/>
    <w:rPr>
      <w:rFonts w:ascii="Symbol" w:hAnsi="Symbol"/>
    </w:rPr>
  </w:style>
  <w:style w:styleId="Style_38" w:type="paragraph">
    <w:name w:val="c0"/>
    <w:basedOn w:val="Style_3"/>
    <w:link w:val="Style_38_ch"/>
    <w:pPr>
      <w:spacing w:afterAutospacing="on" w:beforeAutospacing="on"/>
      <w:ind/>
    </w:pPr>
    <w:rPr>
      <w:rFonts w:ascii="Times New Roman" w:hAnsi="Times New Roman"/>
    </w:rPr>
  </w:style>
  <w:style w:styleId="Style_38_ch" w:type="character">
    <w:name w:val="c0"/>
    <w:basedOn w:val="Style_3_ch"/>
    <w:link w:val="Style_38"/>
    <w:rPr>
      <w:rFonts w:ascii="Times New Roman" w:hAnsi="Times New Roman"/>
    </w:rPr>
  </w:style>
  <w:style w:styleId="Style_39" w:type="paragraph">
    <w:name w:val="Title"/>
    <w:next w:val="Style_3"/>
    <w:link w:val="Style_39_ch"/>
    <w:uiPriority w:val="10"/>
    <w:qFormat/>
    <w:pPr>
      <w:spacing w:after="567" w:before="567"/>
      <w:ind/>
      <w:jc w:val="center"/>
    </w:pPr>
    <w:rPr>
      <w:rFonts w:ascii="XO Thames" w:hAnsi="XO Thames"/>
      <w:b w:val="1"/>
      <w:caps w:val="1"/>
      <w:sz w:val="40"/>
    </w:rPr>
  </w:style>
  <w:style w:styleId="Style_39_ch" w:type="character">
    <w:name w:val="Title"/>
    <w:link w:val="Style_39"/>
    <w:rPr>
      <w:rFonts w:ascii="XO Thames" w:hAnsi="XO Thames"/>
      <w:b w:val="1"/>
      <w:caps w:val="1"/>
      <w:sz w:val="40"/>
    </w:rPr>
  </w:style>
  <w:style w:styleId="Style_40" w:type="paragraph">
    <w:name w:val="heading 4"/>
    <w:next w:val="Style_3"/>
    <w:link w:val="Style_40_ch"/>
    <w:uiPriority w:val="9"/>
    <w:qFormat/>
    <w:pPr>
      <w:spacing w:after="120" w:before="120"/>
      <w:ind/>
      <w:jc w:val="both"/>
      <w:outlineLvl w:val="3"/>
    </w:pPr>
    <w:rPr>
      <w:rFonts w:ascii="XO Thames" w:hAnsi="XO Thames"/>
      <w:b w:val="1"/>
      <w:sz w:val="24"/>
    </w:rPr>
  </w:style>
  <w:style w:styleId="Style_40_ch" w:type="character">
    <w:name w:val="heading 4"/>
    <w:link w:val="Style_40"/>
    <w:rPr>
      <w:rFonts w:ascii="XO Thames" w:hAnsi="XO Thames"/>
      <w:b w:val="1"/>
      <w:sz w:val="24"/>
    </w:rPr>
  </w:style>
  <w:style w:styleId="Style_41" w:type="paragraph">
    <w:name w:val="heading 2"/>
    <w:next w:val="Style_3"/>
    <w:link w:val="Style_41_ch"/>
    <w:uiPriority w:val="9"/>
    <w:qFormat/>
    <w:pPr>
      <w:spacing w:after="120" w:before="120"/>
      <w:ind/>
      <w:jc w:val="both"/>
      <w:outlineLvl w:val="1"/>
    </w:pPr>
    <w:rPr>
      <w:rFonts w:ascii="XO Thames" w:hAnsi="XO Thames"/>
      <w:b w:val="1"/>
      <w:sz w:val="28"/>
    </w:rPr>
  </w:style>
  <w:style w:styleId="Style_41_ch" w:type="character">
    <w:name w:val="heading 2"/>
    <w:link w:val="Style_41"/>
    <w:rPr>
      <w:rFonts w:ascii="XO Thames" w:hAnsi="XO Thames"/>
      <w:b w:val="1"/>
      <w:sz w:val="28"/>
    </w:rPr>
  </w:style>
  <w:style w:default="1" w:styleId="Style_4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0" Target="theme/theme1.xml" Type="http://schemas.openxmlformats.org/officeDocument/2006/relationships/theme"/>
  <Relationship Id="rId9" Target="webSettings.xml" Type="http://schemas.openxmlformats.org/officeDocument/2006/relationships/webSettings"/>
  <Relationship Id="rId8" Target="stylesWithEffects.xml" Type="http://schemas.microsoft.com/office/2007/relationships/stylesWithEffects"/>
  <Relationship Id="rId7" Target="styles.xml" Type="http://schemas.openxmlformats.org/officeDocument/2006/relationships/styles"/>
  <Relationship Id="rId6" Target="settings.xml" Type="http://schemas.openxmlformats.org/officeDocument/2006/relationships/settings"/>
  <Relationship Id="rId5" Target="fontTable.xml" Type="http://schemas.openxmlformats.org/officeDocument/2006/relationships/fontTable"/>
  <Relationship Id="rId4" Target="footer4.xml" Type="http://schemas.openxmlformats.org/officeDocument/2006/relationships/footer"/>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2025-06-08T15:06:15Z</dcterms:modified>
</cp:coreProperties>
</file>