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1503F7" w14:textId="77777777" w:rsidR="00D95FC2" w:rsidRDefault="00D95FC2" w:rsidP="00D95FC2">
      <w:pPr>
        <w:jc w:val="center"/>
        <w:rPr>
          <w:b/>
        </w:rPr>
      </w:pPr>
      <w:r>
        <w:rPr>
          <w:b/>
        </w:rPr>
        <w:t>Приложение №1</w:t>
      </w:r>
    </w:p>
    <w:p w14:paraId="6345D2B3" w14:textId="77777777" w:rsidR="00D95FC2" w:rsidRDefault="00D95FC2" w:rsidP="00D95FC2">
      <w:pPr>
        <w:jc w:val="center"/>
        <w:rPr>
          <w:b/>
        </w:rPr>
      </w:pPr>
      <w:r>
        <w:rPr>
          <w:b/>
        </w:rPr>
        <w:t xml:space="preserve">Подходы к оценке социальной эффективности бюджетных расходов </w:t>
      </w:r>
    </w:p>
    <w:p w14:paraId="08B1112B" w14:textId="77777777" w:rsidR="00D95FC2" w:rsidRDefault="00D95FC2" w:rsidP="00D95FC2">
      <w:pPr>
        <w:jc w:val="right"/>
        <w:rPr>
          <w:i/>
        </w:rPr>
      </w:pPr>
      <w:r>
        <w:rPr>
          <w:i/>
        </w:rPr>
        <w:t>Хамов Павел Александрович</w:t>
      </w:r>
    </w:p>
    <w:p w14:paraId="0BEC66EE" w14:textId="77777777" w:rsidR="00D95FC2" w:rsidRDefault="00D95FC2" w:rsidP="00D95FC2">
      <w:pPr>
        <w:jc w:val="right"/>
        <w:rPr>
          <w:i/>
        </w:rPr>
      </w:pPr>
      <w:r>
        <w:rPr>
          <w:i/>
        </w:rPr>
        <w:t>Студент, Липецкий филиал Российской академии народного хозяйства и государственной службы</w:t>
      </w:r>
    </w:p>
    <w:p w14:paraId="073576CE" w14:textId="77777777" w:rsidR="00D95FC2" w:rsidRDefault="00D95FC2" w:rsidP="00D95FC2">
      <w:pPr>
        <w:jc w:val="right"/>
        <w:rPr>
          <w:i/>
        </w:rPr>
      </w:pPr>
      <w:r>
        <w:rPr>
          <w:i/>
        </w:rPr>
        <w:t>Россия, Липецк</w:t>
      </w:r>
    </w:p>
    <w:p w14:paraId="291B751C" w14:textId="77777777" w:rsidR="00D95FC2" w:rsidRDefault="00D95FC2" w:rsidP="00D95FC2">
      <w:pPr>
        <w:jc w:val="right"/>
        <w:rPr>
          <w:i/>
        </w:rPr>
      </w:pPr>
      <w:r>
        <w:rPr>
          <w:i/>
        </w:rPr>
        <w:t>Научный руководитель – Либерман Т.И</w:t>
      </w:r>
    </w:p>
    <w:p w14:paraId="1D687676" w14:textId="77777777" w:rsidR="00D95FC2" w:rsidRDefault="00D95FC2" w:rsidP="00D95FC2">
      <w:pPr>
        <w:ind w:firstLine="709"/>
      </w:pPr>
      <w:r>
        <w:t>Современные экономические и социальные условия требуют эффективного использования бюджетных средств, особенно в социальной сфере. По данным Всемирного банка, более 20% мировых бюджетных расходов направляются на социальные нужды, что подчеркивает важность их рационального распределения. В условиях ограниченности ресурсов и растущих социальных потребностей необходимо разрабатывать новые подходы к оценке социальной эффективности бюджетных расходов, которые бы учитывали как количественные, так и качественные аспекты. Это делает тему исследования актуальной и значимой для формирования государственной политики.</w:t>
      </w:r>
    </w:p>
    <w:p w14:paraId="4B9544B0" w14:textId="77777777" w:rsidR="00D95FC2" w:rsidRDefault="00D95FC2" w:rsidP="00D95FC2">
      <w:pPr>
        <w:ind w:firstLine="709"/>
      </w:pPr>
      <w:r>
        <w:t xml:space="preserve">Существующие подходы к оценке социальной эффективности бюджетных расходов включают разнообразные методики и индексы. Одним из примеров является методика расчета индекса человеческого развития (ИЧР), которая анализирует влияние бюджетных расходов на уровень образования, здравоохранения и доходов населения. Этот подход помогает выявить связь между инвестициями в социальную сферу и улучшением качества жизни. При этом важно учитывать, что «цель исследования состоит в обосновании методического инструментария оценки эффективности государственной поддержки инвестиций в обновление техники и </w:t>
      </w:r>
      <w:r>
        <w:lastRenderedPageBreak/>
        <w:t>оборудования сельскохозяйственных товаропроизводителей» [4, c.2]. Таким образом, комплексный анализ различных методик способствует более точной оценке воздействия бюджетных расходов на социальное развитие.</w:t>
      </w:r>
    </w:p>
    <w:p w14:paraId="3878FA24" w14:textId="77777777" w:rsidR="00D95FC2" w:rsidRDefault="00D95FC2" w:rsidP="00D95FC2">
      <w:pPr>
        <w:ind w:firstLine="709"/>
      </w:pPr>
      <w:r>
        <w:t>Существующие методы оценки социальной эффективности бюджетных расходов имеют ряд недостатков. Одной из ключевых проблем является их ориентированность преимущественно на количественные показатели, такие как экономическая отдача или численность охваченных программами граждан. Это приводит к игнорированию качественных аспектов, таких как удовлетворенность населения предоставляемыми услугами, что может снижать точность и объективность оценки. Драган отмечает, что «принципы оценки эффективности проектов одинаковы на всех этапах. Оценка может различаться по видам рассматриваемой эффективности, а также по набору исходных данных и степени подробности их описания» [3, с.174]. Таким образом, необходимо учитывать как количественные, так и качественные параметры для более глубокого анализа.</w:t>
      </w:r>
    </w:p>
    <w:p w14:paraId="142107A1" w14:textId="77777777" w:rsidR="00D95FC2" w:rsidRDefault="00D95FC2" w:rsidP="00D95FC2">
      <w:pPr>
        <w:ind w:firstLine="709"/>
      </w:pPr>
      <w:r>
        <w:t>Современные технологии анализа данных, такие как методы больших данных, открывают новые возможности в оценке социальной эффективности. Они позволяют обрабатывать большие объемы информации и выявлять скрытые закономерности, что способствует более точному определению влияния бюджетных расходов на социальную сферу.</w:t>
      </w:r>
    </w:p>
    <w:p w14:paraId="522E6914" w14:textId="77777777" w:rsidR="00D95FC2" w:rsidRDefault="00D95FC2" w:rsidP="00D95FC2">
      <w:pPr>
        <w:ind w:firstLine="709"/>
      </w:pPr>
      <w:r>
        <w:t>Предложенный подход обладает рядом преимуществ перед традиционными методами. Он позволяет учитывать долгосрочные социальные эффекты, такие как улучшение качества жизни или повышение социальной справедливости, что недоступно в рамках методов, ориентированных на краткосрочные результаты.</w:t>
      </w:r>
    </w:p>
    <w:p w14:paraId="598209F1" w14:textId="77777777" w:rsidR="00D95FC2" w:rsidRDefault="00D95FC2" w:rsidP="00D95FC2">
      <w:pPr>
        <w:ind w:firstLine="709"/>
      </w:pPr>
      <w:r>
        <w:t xml:space="preserve">Предложенный методический подход открывает новые возможности для оценки социальной эффективности бюджетных расходов. Дальнейшие исследования могут быть направлены на адаптацию этого подхода к </w:t>
      </w:r>
      <w:r>
        <w:lastRenderedPageBreak/>
        <w:t>различным национальным контекстам и его интеграцию в системы государственного управления, что, в свою очередь, повысит прозрачность и эффективность использования бюджетных средств. Важно отметить, что «кураторы налоговых расходов возложены полномочия по определению соответствия налоговых расходов целевым установкам, отраженным в государственных программах или иных документах, включающих социально-экономические цели» [2, с.16]. Интеграция нового подхода в практику управления может способствовать более целенаправленному распределению ресурсов в соответствии с установленными социальными приоритетами.</w:t>
      </w:r>
    </w:p>
    <w:p w14:paraId="6CC44F0B" w14:textId="77777777" w:rsidR="00D95FC2" w:rsidRDefault="00D95FC2" w:rsidP="00D95FC2">
      <w:pPr>
        <w:spacing w:line="278" w:lineRule="auto"/>
        <w:ind w:firstLine="0"/>
        <w:jc w:val="left"/>
      </w:pPr>
      <w:r>
        <w:br w:type="page"/>
      </w:r>
    </w:p>
    <w:p w14:paraId="421959CC" w14:textId="77777777" w:rsidR="00D95FC2" w:rsidRDefault="00D95FC2" w:rsidP="00D95FC2">
      <w:pPr>
        <w:ind w:firstLine="709"/>
        <w:jc w:val="center"/>
        <w:rPr>
          <w:b/>
        </w:rPr>
      </w:pPr>
      <w:r>
        <w:rPr>
          <w:b/>
        </w:rPr>
        <w:lastRenderedPageBreak/>
        <w:t>Библиографический список</w:t>
      </w:r>
    </w:p>
    <w:p w14:paraId="6196CA3D" w14:textId="77777777" w:rsidR="00D95FC2" w:rsidRDefault="00D95FC2" w:rsidP="00D95FC2">
      <w:pPr>
        <w:ind w:firstLine="709"/>
        <w:jc w:val="center"/>
        <w:rPr>
          <w:b/>
        </w:rPr>
      </w:pPr>
    </w:p>
    <w:p w14:paraId="70D96BE9" w14:textId="77777777" w:rsidR="00D95FC2" w:rsidRDefault="00D95FC2" w:rsidP="00D95FC2">
      <w:pPr>
        <w:numPr>
          <w:ilvl w:val="0"/>
          <w:numId w:val="1"/>
        </w:numPr>
      </w:pPr>
      <w:r>
        <w:t>Валова, Е. Ю. Определение эффективности расходов бюджета: проблемы и пути решения // Альманах современной науки и образования. — 2010. — № 7 (38). — С. 156-159. — Тамбов: Грамота. — ISSN 1993-5552. [Электронный ресурс]. — URL: www.gramota.net/</w:t>
      </w:r>
      <w:proofErr w:type="spellStart"/>
      <w:r>
        <w:t>materials</w:t>
      </w:r>
      <w:proofErr w:type="spellEnd"/>
      <w:r>
        <w:t>/1/2010/7/43.html.</w:t>
      </w:r>
    </w:p>
    <w:p w14:paraId="600DBD1B" w14:textId="77777777" w:rsidR="00D95FC2" w:rsidRDefault="00D95FC2" w:rsidP="00D95FC2">
      <w:pPr>
        <w:numPr>
          <w:ilvl w:val="0"/>
          <w:numId w:val="1"/>
        </w:numPr>
      </w:pPr>
      <w:r>
        <w:t>Демидова, С. Е. Оценка системы управления налоговыми расходами бюджетов субъектов Федерации // Вестник экономики, права и социологии. — 2023. — № 3. — С. 16.</w:t>
      </w:r>
    </w:p>
    <w:p w14:paraId="0A1CB191" w14:textId="77777777" w:rsidR="00D95FC2" w:rsidRDefault="00D95FC2" w:rsidP="00D95FC2">
      <w:pPr>
        <w:numPr>
          <w:ilvl w:val="0"/>
          <w:numId w:val="1"/>
        </w:numPr>
      </w:pPr>
      <w:r>
        <w:t>Драган, Т. М. Социальная эффективность инвестиционных вложений в предприятие на стадии санации // Вестник Брестского государственного технического университета. — 2004. — № 3. — С. 174–175.</w:t>
      </w:r>
    </w:p>
    <w:p w14:paraId="09D4CBB7" w14:textId="77777777" w:rsidR="00D95FC2" w:rsidRDefault="00D95FC2" w:rsidP="00D95FC2">
      <w:pPr>
        <w:numPr>
          <w:ilvl w:val="0"/>
          <w:numId w:val="1"/>
        </w:numPr>
      </w:pPr>
      <w:r>
        <w:t xml:space="preserve">Кондратьев, Д. В., </w:t>
      </w:r>
      <w:proofErr w:type="spellStart"/>
      <w:r>
        <w:t>Остаев</w:t>
      </w:r>
      <w:proofErr w:type="spellEnd"/>
      <w:r>
        <w:t xml:space="preserve">, Г. Я., </w:t>
      </w:r>
      <w:proofErr w:type="spellStart"/>
      <w:r>
        <w:t>Клычова</w:t>
      </w:r>
      <w:proofErr w:type="spellEnd"/>
      <w:r>
        <w:t>, Г. С., Валиев, А. Р., Хусаинова, А. С. Методический инструментарий оценки эффективности бюджетного финансирования вложений в обновление сельскохозяйственной техники и оборудования // Вестник Казанского ГАУ. — 2023. — № 2(70). — С. [б. с.].</w:t>
      </w:r>
    </w:p>
    <w:p w14:paraId="4397DC42" w14:textId="77777777" w:rsidR="00D95FC2" w:rsidRDefault="00D95FC2" w:rsidP="00D95FC2">
      <w:pPr>
        <w:numPr>
          <w:ilvl w:val="0"/>
          <w:numId w:val="1"/>
        </w:numPr>
      </w:pPr>
      <w:r>
        <w:t>Лебединская, Е. Повышение эффективности – основная задача бюджетной политики // Экономическая экспертная группа. — [б. г.]. — [б. м.]. — [б. и.].</w:t>
      </w:r>
    </w:p>
    <w:p w14:paraId="33E9B355" w14:textId="77777777" w:rsidR="00D95FC2" w:rsidRDefault="00D95FC2" w:rsidP="00D95FC2">
      <w:pPr>
        <w:numPr>
          <w:ilvl w:val="0"/>
          <w:numId w:val="1"/>
        </w:numPr>
      </w:pPr>
      <w:r>
        <w:t>Лобанова, М.А. Подходы к определению экономической эффективности расходов муниципального бюджета // Электронный научный журнал «Вектор экономики». — 2018. — № 10. — С. [б. с.].</w:t>
      </w:r>
    </w:p>
    <w:p w14:paraId="2791982D" w14:textId="77777777" w:rsidR="00D95FC2" w:rsidRDefault="00D95FC2" w:rsidP="00D95FC2">
      <w:pPr>
        <w:numPr>
          <w:ilvl w:val="0"/>
          <w:numId w:val="1"/>
        </w:numPr>
      </w:pPr>
      <w:r>
        <w:t xml:space="preserve">Медведев, П. В. Оценка экологической и социальной эффективности инфраструктурных проектов в обеспечении экономической </w:t>
      </w:r>
      <w:r>
        <w:lastRenderedPageBreak/>
        <w:t>безопасности: Автореферат диссертации на соискание ученой степени кандидата экономических наук. — Москва, 2016. — [б. с.].</w:t>
      </w:r>
    </w:p>
    <w:p w14:paraId="1787B717" w14:textId="77777777" w:rsidR="00D95FC2" w:rsidRDefault="00D95FC2" w:rsidP="00D95FC2">
      <w:pPr>
        <w:numPr>
          <w:ilvl w:val="0"/>
          <w:numId w:val="1"/>
        </w:numPr>
      </w:pPr>
      <w:proofErr w:type="spellStart"/>
      <w:r>
        <w:t>Платошечкина</w:t>
      </w:r>
      <w:proofErr w:type="spellEnd"/>
      <w:r>
        <w:t xml:space="preserve">, С. Ю. Об оценке эффективности использования государственных расходов // </w:t>
      </w:r>
      <w:r w:rsidRPr="00B77B71">
        <w:t>«Научные записки НГУЭУ», выпуск 3, Новосибирск, 2009 год</w:t>
      </w:r>
      <w:r>
        <w:t xml:space="preserve">. – 154 с. -  </w:t>
      </w:r>
    </w:p>
    <w:p w14:paraId="4C879E6F" w14:textId="77777777" w:rsidR="00D95FC2" w:rsidRDefault="00D95FC2" w:rsidP="00D95FC2">
      <w:pPr>
        <w:numPr>
          <w:ilvl w:val="0"/>
          <w:numId w:val="1"/>
        </w:numPr>
      </w:pPr>
      <w:r>
        <w:t>Проблемы совершенствования бюджетной политики регионов и муниципалитетов: Материалы Восьмой научно-практической конференции (16 – 18 июня 2008 г.). — Петрозаводск: Изд-во ПетрГУ, 2008. — 276 с.</w:t>
      </w:r>
    </w:p>
    <w:p w14:paraId="09D5E131" w14:textId="77777777" w:rsidR="00D95FC2" w:rsidRDefault="00D95FC2" w:rsidP="00D95FC2">
      <w:pPr>
        <w:numPr>
          <w:ilvl w:val="0"/>
          <w:numId w:val="1"/>
        </w:numPr>
      </w:pPr>
      <w:r>
        <w:t>Стукач, М. А. Подходы к оценке эффективности бюджетных расходов на общее образование // Наука и образование: новое время. — 2017. — № 6. — С. 74–94. [Электронный ресурс]. — URL: www.articulus-info.ru.</w:t>
      </w:r>
    </w:p>
    <w:p w14:paraId="6D2CD89C" w14:textId="77777777" w:rsidR="00D95FC2" w:rsidRDefault="00D95FC2" w:rsidP="00D95FC2">
      <w:pPr>
        <w:numPr>
          <w:ilvl w:val="0"/>
          <w:numId w:val="1"/>
        </w:numPr>
      </w:pPr>
      <w:r>
        <w:t xml:space="preserve">Теоретические и прикладные аспекты современной </w:t>
      </w:r>
      <w:proofErr w:type="gramStart"/>
      <w:r>
        <w:t>науки :</w:t>
      </w:r>
      <w:proofErr w:type="gramEnd"/>
      <w:r>
        <w:t xml:space="preserve"> сборник научных трудов по материалам VII Международной научно-практической конференции 31 января 2015 г.: в 10 ч. / Под общ. ред. М.Г. Петровой. — </w:t>
      </w:r>
      <w:proofErr w:type="gramStart"/>
      <w:r>
        <w:t>Белгород :</w:t>
      </w:r>
      <w:proofErr w:type="gramEnd"/>
      <w:r>
        <w:t xml:space="preserve"> ИП Петрова М.Г., 2015. — Часть VII. — 164 с.</w:t>
      </w:r>
    </w:p>
    <w:p w14:paraId="6C7EC145" w14:textId="77777777" w:rsidR="00D95FC2" w:rsidRDefault="00D95FC2" w:rsidP="00D95FC2">
      <w:pPr>
        <w:numPr>
          <w:ilvl w:val="0"/>
          <w:numId w:val="1"/>
        </w:numPr>
      </w:pPr>
      <w:r>
        <w:t>Ярошенко, Т.П. Модель и методический инструментарий оценки эффективности бюджетных расходов муниципального образования // Вектор науки ТГУ. — 2011. — № 3(17). — С. 259.</w:t>
      </w:r>
    </w:p>
    <w:p w14:paraId="55C963C9" w14:textId="77777777" w:rsidR="00D95FC2" w:rsidRDefault="00D95FC2" w:rsidP="00D95FC2">
      <w:pPr>
        <w:ind w:firstLine="709"/>
      </w:pPr>
    </w:p>
    <w:p w14:paraId="6732F980" w14:textId="77777777" w:rsidR="00CE13ED" w:rsidRDefault="00CE13ED"/>
    <w:sectPr w:rsidR="00CE13ED" w:rsidSect="00D95FC2">
      <w:footerReference w:type="default" r:id="rId5"/>
      <w:pgSz w:w="11905" w:h="16837"/>
      <w:pgMar w:top="1134" w:right="850" w:bottom="1134" w:left="1701"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5E944" w14:textId="77777777" w:rsidR="00D95FC2" w:rsidRDefault="00D95FC2">
    <w:pPr>
      <w:jc w:val="center"/>
    </w:pPr>
    <w:r>
      <w:fldChar w:fldCharType="begin"/>
    </w:r>
    <w:r>
      <w:instrText>PAGE</w:instrText>
    </w:r>
    <w:r>
      <w:fldChar w:fldCharType="separate"/>
    </w:r>
    <w:r>
      <w:rPr>
        <w:noProof/>
      </w:rPr>
      <w:t>1</w:t>
    </w:r>
    <w:r>
      <w:fldChar w:fldCharType="end"/>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5F73D7"/>
    <w:multiLevelType w:val="multilevel"/>
    <w:tmpl w:val="A2A03C4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8112881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FC2"/>
    <w:rsid w:val="003124E7"/>
    <w:rsid w:val="00690679"/>
    <w:rsid w:val="00CE13ED"/>
    <w:rsid w:val="00D95F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F2E69"/>
  <w15:chartTrackingRefBased/>
  <w15:docId w15:val="{F0550529-D829-47BA-978B-93D342B48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5FC2"/>
    <w:pPr>
      <w:spacing w:line="360" w:lineRule="auto"/>
      <w:ind w:firstLine="708"/>
      <w:jc w:val="both"/>
    </w:pPr>
    <w:rPr>
      <w:rFonts w:ascii="Times New Roman" w:eastAsia="Times New Roman" w:hAnsi="Times New Roman" w:cs="Times New Roman"/>
      <w:kern w:val="0"/>
      <w:sz w:val="28"/>
      <w:szCs w:val="28"/>
      <w:lang w:eastAsia="ru-RU"/>
      <w14:ligatures w14:val="none"/>
    </w:rPr>
  </w:style>
  <w:style w:type="paragraph" w:styleId="1">
    <w:name w:val="heading 1"/>
    <w:basedOn w:val="a"/>
    <w:next w:val="a"/>
    <w:link w:val="10"/>
    <w:uiPriority w:val="9"/>
    <w:qFormat/>
    <w:rsid w:val="00D95FC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D95FC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D95FC2"/>
    <w:pPr>
      <w:keepNext/>
      <w:keepLines/>
      <w:spacing w:before="160" w:after="80"/>
      <w:outlineLvl w:val="2"/>
    </w:pPr>
    <w:rPr>
      <w:rFonts w:eastAsiaTheme="majorEastAsia" w:cstheme="majorBidi"/>
      <w:color w:val="0F4761" w:themeColor="accent1" w:themeShade="BF"/>
    </w:rPr>
  </w:style>
  <w:style w:type="paragraph" w:styleId="4">
    <w:name w:val="heading 4"/>
    <w:basedOn w:val="a"/>
    <w:next w:val="a"/>
    <w:link w:val="40"/>
    <w:uiPriority w:val="9"/>
    <w:semiHidden/>
    <w:unhideWhenUsed/>
    <w:qFormat/>
    <w:rsid w:val="00D95FC2"/>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D95FC2"/>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D95FC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95FC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95FC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95FC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95FC2"/>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D95FC2"/>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D95FC2"/>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D95FC2"/>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D95FC2"/>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D95FC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95FC2"/>
    <w:rPr>
      <w:rFonts w:eastAsiaTheme="majorEastAsia" w:cstheme="majorBidi"/>
      <w:color w:val="595959" w:themeColor="text1" w:themeTint="A6"/>
    </w:rPr>
  </w:style>
  <w:style w:type="character" w:customStyle="1" w:styleId="80">
    <w:name w:val="Заголовок 8 Знак"/>
    <w:basedOn w:val="a0"/>
    <w:link w:val="8"/>
    <w:uiPriority w:val="9"/>
    <w:semiHidden/>
    <w:rsid w:val="00D95FC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95FC2"/>
    <w:rPr>
      <w:rFonts w:eastAsiaTheme="majorEastAsia" w:cstheme="majorBidi"/>
      <w:color w:val="272727" w:themeColor="text1" w:themeTint="D8"/>
    </w:rPr>
  </w:style>
  <w:style w:type="paragraph" w:styleId="a3">
    <w:name w:val="Title"/>
    <w:basedOn w:val="a"/>
    <w:next w:val="a"/>
    <w:link w:val="a4"/>
    <w:uiPriority w:val="10"/>
    <w:qFormat/>
    <w:rsid w:val="00D95FC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95FC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95FC2"/>
    <w:pPr>
      <w:numPr>
        <w:ilvl w:val="1"/>
      </w:numPr>
    </w:pPr>
    <w:rPr>
      <w:rFonts w:eastAsiaTheme="majorEastAsia" w:cstheme="majorBidi"/>
      <w:color w:val="595959" w:themeColor="text1" w:themeTint="A6"/>
      <w:spacing w:val="15"/>
    </w:rPr>
  </w:style>
  <w:style w:type="character" w:customStyle="1" w:styleId="a6">
    <w:name w:val="Подзаголовок Знак"/>
    <w:basedOn w:val="a0"/>
    <w:link w:val="a5"/>
    <w:uiPriority w:val="11"/>
    <w:rsid w:val="00D95FC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95FC2"/>
    <w:pPr>
      <w:spacing w:before="160"/>
      <w:jc w:val="center"/>
    </w:pPr>
    <w:rPr>
      <w:i/>
      <w:iCs/>
      <w:color w:val="404040" w:themeColor="text1" w:themeTint="BF"/>
    </w:rPr>
  </w:style>
  <w:style w:type="character" w:customStyle="1" w:styleId="22">
    <w:name w:val="Цитата 2 Знак"/>
    <w:basedOn w:val="a0"/>
    <w:link w:val="21"/>
    <w:uiPriority w:val="29"/>
    <w:rsid w:val="00D95FC2"/>
    <w:rPr>
      <w:i/>
      <w:iCs/>
      <w:color w:val="404040" w:themeColor="text1" w:themeTint="BF"/>
    </w:rPr>
  </w:style>
  <w:style w:type="paragraph" w:styleId="a7">
    <w:name w:val="List Paragraph"/>
    <w:basedOn w:val="a"/>
    <w:uiPriority w:val="34"/>
    <w:qFormat/>
    <w:rsid w:val="00D95FC2"/>
    <w:pPr>
      <w:ind w:left="720"/>
      <w:contextualSpacing/>
    </w:pPr>
  </w:style>
  <w:style w:type="character" w:styleId="a8">
    <w:name w:val="Intense Emphasis"/>
    <w:basedOn w:val="a0"/>
    <w:uiPriority w:val="21"/>
    <w:qFormat/>
    <w:rsid w:val="00D95FC2"/>
    <w:rPr>
      <w:i/>
      <w:iCs/>
      <w:color w:val="0F4761" w:themeColor="accent1" w:themeShade="BF"/>
    </w:rPr>
  </w:style>
  <w:style w:type="paragraph" w:styleId="a9">
    <w:name w:val="Intense Quote"/>
    <w:basedOn w:val="a"/>
    <w:next w:val="a"/>
    <w:link w:val="aa"/>
    <w:uiPriority w:val="30"/>
    <w:qFormat/>
    <w:rsid w:val="00D95FC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D95FC2"/>
    <w:rPr>
      <w:i/>
      <w:iCs/>
      <w:color w:val="0F4761" w:themeColor="accent1" w:themeShade="BF"/>
    </w:rPr>
  </w:style>
  <w:style w:type="character" w:styleId="ab">
    <w:name w:val="Intense Reference"/>
    <w:basedOn w:val="a0"/>
    <w:uiPriority w:val="32"/>
    <w:qFormat/>
    <w:rsid w:val="00D95FC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942</Words>
  <Characters>5373</Characters>
  <Application>Microsoft Office Word</Application>
  <DocSecurity>0</DocSecurity>
  <Lines>44</Lines>
  <Paragraphs>12</Paragraphs>
  <ScaleCrop>false</ScaleCrop>
  <Company/>
  <LinksUpToDate>false</LinksUpToDate>
  <CharactersWithSpaces>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dc:creator>
  <cp:keywords/>
  <dc:description/>
  <cp:lastModifiedBy>Павел</cp:lastModifiedBy>
  <cp:revision>1</cp:revision>
  <dcterms:created xsi:type="dcterms:W3CDTF">2025-06-11T10:29:00Z</dcterms:created>
  <dcterms:modified xsi:type="dcterms:W3CDTF">2025-06-11T10:30:00Z</dcterms:modified>
</cp:coreProperties>
</file>