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D12A1" w14:textId="77777777" w:rsidR="007F7B01" w:rsidRDefault="007F7B01">
      <w:pPr>
        <w:pStyle w:val="ac"/>
      </w:pPr>
      <w:r>
        <w:t>ВЗАИМОСВЯЗЬ ЗАЩИТНЫХ МЕХАНИЗМОВ ПОДРОСТКА С ХАРАКТЕРОМ ДЕТСКО-РОДИТЕЛЬСКИХ ОТНОШЕНИЙ: ЭМПИРИЧЕСКИЙ АНАЛИЗ</w:t>
      </w:r>
    </w:p>
    <w:p w14:paraId="7A50AF68" w14:textId="77777777" w:rsidR="007F7B01" w:rsidRDefault="007F7B01">
      <w:pPr>
        <w:pStyle w:val="ac"/>
      </w:pPr>
      <w:r>
        <w:t>Аннотация</w:t>
      </w:r>
      <w:r>
        <w:br/>
        <w:t>В статье представлены результаты эмпирического исследования взаимосвязи защитных механизмов подростков с характером детско-родительских отношений. Проведён количественный анализ с применением психодиагностических методик (DSQ, PSDQ, ДРОП и др.) среди подростков 15–17 лет. Выявлены статистически значимые корреляции между стилями воспитания и предпочтительными формами психологической защиты. Полученные данные подчёркивают влияние воспитательного воздействия на эмоциональное развитие подростков.</w:t>
      </w:r>
    </w:p>
    <w:p w14:paraId="046631D4" w14:textId="77777777" w:rsidR="007F7B01" w:rsidRDefault="007F7B01">
      <w:pPr>
        <w:pStyle w:val="ac"/>
      </w:pPr>
      <w:r>
        <w:t>Ключевые слова: подросток, защитные механизмы, детско-родительские отношения, эмпирическое исследование, стиль воспитания, корреляция.</w:t>
      </w:r>
    </w:p>
    <w:p w14:paraId="5F924E08" w14:textId="77777777" w:rsidR="007F7B01" w:rsidRDefault="007F7B01">
      <w:pPr>
        <w:pStyle w:val="ac"/>
      </w:pPr>
      <w:r>
        <w:t>Введение</w:t>
      </w:r>
      <w:r>
        <w:br/>
        <w:t xml:space="preserve">Подростковый возраст характеризуется высокой эмоциональной чувствительностью и поиском способов адаптации к внешним и внутренним конфликтам. Одним из таких способов являются защитные механизмы, формирующиеся в значительной степени под влиянием </w:t>
      </w:r>
      <w:proofErr w:type="spellStart"/>
      <w:r>
        <w:t>микросоциальной</w:t>
      </w:r>
      <w:proofErr w:type="spellEnd"/>
      <w:r>
        <w:t xml:space="preserve"> среды, прежде всего — семьи. Целью настоящего исследования является выявление взаимосвязей между характеристиками детско-родительских отношений и типами используемых подростками защитных механизмов.</w:t>
      </w:r>
    </w:p>
    <w:p w14:paraId="0AC875B5" w14:textId="77777777" w:rsidR="007F7B01" w:rsidRDefault="007F7B01">
      <w:pPr>
        <w:pStyle w:val="ac"/>
      </w:pPr>
      <w:r>
        <w:t>Методология исследования</w:t>
      </w:r>
      <w:r>
        <w:br/>
        <w:t>В исследовании приняли участие 15 подростков в возрасте от 15 до 17 лет. Использовались следующие методики:</w:t>
      </w:r>
    </w:p>
    <w:p w14:paraId="47584A57" w14:textId="77777777" w:rsidR="007F7B01" w:rsidRDefault="007F7B01">
      <w:pPr>
        <w:pStyle w:val="ac"/>
        <w:numPr>
          <w:ilvl w:val="0"/>
          <w:numId w:val="1"/>
        </w:numPr>
      </w:pPr>
      <w:r>
        <w:t xml:space="preserve">Опросник защитных механизмов (по </w:t>
      </w:r>
      <w:proofErr w:type="spellStart"/>
      <w:r>
        <w:t>Азбель</w:t>
      </w:r>
      <w:proofErr w:type="spellEnd"/>
      <w:r>
        <w:t xml:space="preserve"> и </w:t>
      </w:r>
      <w:proofErr w:type="spellStart"/>
      <w:r>
        <w:t>Грецову</w:t>
      </w:r>
      <w:proofErr w:type="spellEnd"/>
      <w:r>
        <w:t>);</w:t>
      </w:r>
    </w:p>
    <w:p w14:paraId="2128BE2E" w14:textId="77777777" w:rsidR="007F7B01" w:rsidRDefault="007F7B01">
      <w:pPr>
        <w:pStyle w:val="ac"/>
        <w:numPr>
          <w:ilvl w:val="0"/>
          <w:numId w:val="1"/>
        </w:numPr>
      </w:pPr>
      <w:r>
        <w:t>Методика «Подростки о родителях»;</w:t>
      </w:r>
    </w:p>
    <w:p w14:paraId="3314A4A2" w14:textId="77777777" w:rsidR="007F7B01" w:rsidRDefault="007F7B01">
      <w:pPr>
        <w:pStyle w:val="ac"/>
        <w:numPr>
          <w:ilvl w:val="0"/>
          <w:numId w:val="1"/>
        </w:numPr>
      </w:pPr>
      <w:r>
        <w:t>Диагностика детско-родительских отношений (ДРОП);</w:t>
      </w:r>
    </w:p>
    <w:p w14:paraId="39FC9DFD" w14:textId="77777777" w:rsidR="007F7B01" w:rsidRDefault="007F7B01">
      <w:pPr>
        <w:pStyle w:val="ac"/>
        <w:numPr>
          <w:ilvl w:val="0"/>
          <w:numId w:val="1"/>
        </w:numPr>
      </w:pPr>
      <w:r>
        <w:t xml:space="preserve">Корреляционный анализ по </w:t>
      </w:r>
      <w:proofErr w:type="spellStart"/>
      <w:r>
        <w:t>Спирмену</w:t>
      </w:r>
      <w:proofErr w:type="spellEnd"/>
      <w:r>
        <w:t>.</w:t>
      </w:r>
    </w:p>
    <w:p w14:paraId="2B45C329" w14:textId="77777777" w:rsidR="007F7B01" w:rsidRDefault="007F7B01">
      <w:pPr>
        <w:pStyle w:val="ac"/>
      </w:pPr>
      <w:r>
        <w:t>Исследование проводилось дистанционно, с соблюдением этических норм. Участникам были предоставлены идентичные диагностические материалы, обеспечивающие стандартизацию условий.</w:t>
      </w:r>
    </w:p>
    <w:p w14:paraId="2E5CC3FA" w14:textId="77777777" w:rsidR="007F7B01" w:rsidRDefault="007F7B01">
      <w:pPr>
        <w:pStyle w:val="ac"/>
      </w:pPr>
      <w:r>
        <w:t>Результаты и интерпретация</w:t>
      </w:r>
      <w:r>
        <w:br/>
        <w:t>Результаты показали высокий уровень разнообразия как в используемых защитных стратегиях, так и в восприятии родительского поведения.</w:t>
      </w:r>
    </w:p>
    <w:p w14:paraId="37D71D9F" w14:textId="77777777" w:rsidR="007F7B01" w:rsidRDefault="007F7B01">
      <w:pPr>
        <w:pStyle w:val="ac"/>
      </w:pPr>
      <w:r>
        <w:t>Наиболее значимые корреляции:</w:t>
      </w:r>
    </w:p>
    <w:p w14:paraId="52982165" w14:textId="77777777" w:rsidR="007F7B01" w:rsidRDefault="007F7B01">
      <w:pPr>
        <w:pStyle w:val="ac"/>
        <w:numPr>
          <w:ilvl w:val="0"/>
          <w:numId w:val="2"/>
        </w:numPr>
      </w:pPr>
      <w:r>
        <w:rPr>
          <w:rStyle w:val="ad"/>
        </w:rPr>
        <w:t>Избегание и поощрение автономности</w:t>
      </w:r>
      <w:r>
        <w:t xml:space="preserve"> (r = –0.563, p ≤ 0.05): чем ниже уровень поощрения автономности со стороны родителей, тем выше склонность подростков к избеганию как защитной реакции. Это указывает на дефицит условий для формирования зрелых стратегий </w:t>
      </w:r>
      <w:proofErr w:type="spellStart"/>
      <w:r>
        <w:t>совладания</w:t>
      </w:r>
      <w:proofErr w:type="spellEnd"/>
      <w:r>
        <w:t>.</w:t>
      </w:r>
    </w:p>
    <w:p w14:paraId="31460838" w14:textId="77777777" w:rsidR="007F7B01" w:rsidRDefault="007F7B01">
      <w:pPr>
        <w:pStyle w:val="ac"/>
        <w:numPr>
          <w:ilvl w:val="0"/>
          <w:numId w:val="2"/>
        </w:numPr>
      </w:pPr>
      <w:r>
        <w:rPr>
          <w:rStyle w:val="ad"/>
        </w:rPr>
        <w:t>Регрессия и позитивный интерес родителей</w:t>
      </w:r>
      <w:r>
        <w:t xml:space="preserve"> (r = 0.516, p ≤ 0.05): повышенный интерес родителей к жизни подростка может, при определённых условиях, вызывать регрессивные формы поведения как реакцию на </w:t>
      </w:r>
      <w:proofErr w:type="spellStart"/>
      <w:r>
        <w:t>гиперопеку</w:t>
      </w:r>
      <w:proofErr w:type="spellEnd"/>
      <w:r>
        <w:t>.</w:t>
      </w:r>
    </w:p>
    <w:p w14:paraId="66B60EBA" w14:textId="77777777" w:rsidR="007F7B01" w:rsidRDefault="007F7B01">
      <w:pPr>
        <w:pStyle w:val="ac"/>
        <w:numPr>
          <w:ilvl w:val="0"/>
          <w:numId w:val="2"/>
        </w:numPr>
      </w:pPr>
      <w:r>
        <w:rPr>
          <w:rStyle w:val="ad"/>
        </w:rPr>
        <w:t>Замещение и участие в принятии решений</w:t>
      </w:r>
      <w:r>
        <w:t xml:space="preserve"> (r = 0.531, p ≤ 0.05): подростки, имеющие опыт участия в семейных решениях, чаще используют замещение — относительно зрелый защитный механизм, предполагающий конструктивную переработку эмоций.</w:t>
      </w:r>
    </w:p>
    <w:p w14:paraId="715FF339" w14:textId="77777777" w:rsidR="007F7B01" w:rsidRDefault="007F7B01">
      <w:pPr>
        <w:pStyle w:val="ac"/>
      </w:pPr>
      <w:r>
        <w:t>В целом, высокий уровень контроля, непоследовательность в воспитательных воздействиях, а также эмоциональная дистанция со стороны родителей сопровождались преобладанием примитивных и незрелых форм защиты: проекции, избегания, пассивной агрессии. Напротив, атмосфера принятия, последовательности и диалога способствовала появлению рационализации, замещения, сублимации и других адаптивных стратегий.</w:t>
      </w:r>
    </w:p>
    <w:p w14:paraId="0902C301" w14:textId="77777777" w:rsidR="007F7B01" w:rsidRDefault="007F7B01">
      <w:pPr>
        <w:pStyle w:val="ac"/>
      </w:pPr>
      <w:r>
        <w:t>Обсуждение</w:t>
      </w:r>
      <w:r>
        <w:br/>
        <w:t xml:space="preserve">Результаты подтверждают гипотезу о зависимости форм психологической защиты подростков от качества детско-родительских отношений. Эмоциональная доступность и предоставление подростку самостоятельности создают условия для формирования зрелых и продуктивных механизмов </w:t>
      </w:r>
      <w:proofErr w:type="spellStart"/>
      <w:r>
        <w:t>совладания</w:t>
      </w:r>
      <w:proofErr w:type="spellEnd"/>
      <w:r>
        <w:t xml:space="preserve">. В условиях враждебности, директивности или непоследовательности подростки чаще используют </w:t>
      </w:r>
      <w:proofErr w:type="spellStart"/>
      <w:r>
        <w:t>дезадаптивные</w:t>
      </w:r>
      <w:proofErr w:type="spellEnd"/>
      <w:r>
        <w:t xml:space="preserve"> формы защиты.</w:t>
      </w:r>
    </w:p>
    <w:p w14:paraId="49FFA30D" w14:textId="77777777" w:rsidR="007F7B01" w:rsidRDefault="007F7B01">
      <w:pPr>
        <w:pStyle w:val="ac"/>
      </w:pPr>
      <w:r>
        <w:t xml:space="preserve">Таким образом, диагностика детско-родительских отношений может служить прогностическим инструментом в оценке потенциальных рисков психологической </w:t>
      </w:r>
      <w:proofErr w:type="spellStart"/>
      <w:r>
        <w:t>дезадаптации</w:t>
      </w:r>
      <w:proofErr w:type="spellEnd"/>
      <w:r>
        <w:t xml:space="preserve"> подростков.</w:t>
      </w:r>
    </w:p>
    <w:p w14:paraId="6F1F1192" w14:textId="77777777" w:rsidR="007F7B01" w:rsidRDefault="007F7B01">
      <w:pPr>
        <w:pStyle w:val="ac"/>
      </w:pPr>
      <w:r>
        <w:t>Заключение</w:t>
      </w:r>
      <w:r>
        <w:br/>
        <w:t xml:space="preserve">Эмпирическое исследование показало, что характер детско-родительских отношений играет ключевую роль в выборе подростками тех или иных защитных механизмов. Поддерживающий и автономный стиль воспитания способствует формированию зрелых стратегий </w:t>
      </w:r>
      <w:proofErr w:type="spellStart"/>
      <w:r>
        <w:t>совладания</w:t>
      </w:r>
      <w:proofErr w:type="spellEnd"/>
      <w:r>
        <w:t>, тогда как директивные, противоречивые и эмоционально холодные стили связаны с активизацией примитивных форм защиты. Практические выводы исследования могут быть использованы в консультативной и профилактической работе с семьями и подростками.</w:t>
      </w:r>
    </w:p>
    <w:p w14:paraId="15F204CE" w14:textId="77777777" w:rsidR="007F7B01" w:rsidRDefault="007F7B01">
      <w:pPr>
        <w:pStyle w:val="ac"/>
      </w:pPr>
      <w:r>
        <w:t>Список литературы (примерный):</w:t>
      </w:r>
    </w:p>
    <w:p w14:paraId="00AF0292" w14:textId="77777777" w:rsidR="007F7B01" w:rsidRDefault="007F7B01">
      <w:pPr>
        <w:pStyle w:val="ac"/>
        <w:numPr>
          <w:ilvl w:val="0"/>
          <w:numId w:val="3"/>
        </w:numPr>
      </w:pPr>
      <w:proofErr w:type="spellStart"/>
      <w:r>
        <w:t>Азбель</w:t>
      </w:r>
      <w:proofErr w:type="spellEnd"/>
      <w:r>
        <w:t xml:space="preserve"> А.А., </w:t>
      </w:r>
      <w:proofErr w:type="spellStart"/>
      <w:r>
        <w:t>Грецов</w:t>
      </w:r>
      <w:proofErr w:type="spellEnd"/>
      <w:r>
        <w:t xml:space="preserve"> А.Г. Методика диагностики защитных механизмов личности. — М., 2009.</w:t>
      </w:r>
    </w:p>
    <w:p w14:paraId="55024333" w14:textId="77777777" w:rsidR="007F7B01" w:rsidRDefault="007F7B01">
      <w:pPr>
        <w:pStyle w:val="ac"/>
        <w:numPr>
          <w:ilvl w:val="0"/>
          <w:numId w:val="3"/>
        </w:numPr>
      </w:pPr>
      <w:r>
        <w:t xml:space="preserve">Варга А.Я., </w:t>
      </w:r>
      <w:proofErr w:type="spellStart"/>
      <w:r>
        <w:t>Столин</w:t>
      </w:r>
      <w:proofErr w:type="spellEnd"/>
      <w:r>
        <w:t xml:space="preserve"> В.В. </w:t>
      </w:r>
      <w:proofErr w:type="spellStart"/>
      <w:r>
        <w:t>Родительско</w:t>
      </w:r>
      <w:proofErr w:type="spellEnd"/>
      <w:r>
        <w:t>-детские отношения. — М.: Изд-во МГУ, 1995.</w:t>
      </w:r>
    </w:p>
    <w:p w14:paraId="52D8E327" w14:textId="77777777" w:rsidR="007F7B01" w:rsidRDefault="007F7B01">
      <w:pPr>
        <w:pStyle w:val="ac"/>
        <w:numPr>
          <w:ilvl w:val="0"/>
          <w:numId w:val="3"/>
        </w:numPr>
      </w:pPr>
      <w:proofErr w:type="spellStart"/>
      <w:r>
        <w:t>Спилбергер</w:t>
      </w:r>
      <w:proofErr w:type="spellEnd"/>
      <w:r>
        <w:t xml:space="preserve"> Ч.Д. Руководство по методике измерения тревожности. — СПб., 2002.</w:t>
      </w:r>
    </w:p>
    <w:p w14:paraId="658F3C7D" w14:textId="77777777" w:rsidR="007F7B01" w:rsidRDefault="007F7B01">
      <w:pPr>
        <w:pStyle w:val="ac"/>
        <w:numPr>
          <w:ilvl w:val="0"/>
          <w:numId w:val="3"/>
        </w:numPr>
      </w:pPr>
      <w:proofErr w:type="spellStart"/>
      <w:r>
        <w:t>Боулби</w:t>
      </w:r>
      <w:proofErr w:type="spellEnd"/>
      <w:r>
        <w:t xml:space="preserve"> Дж. Привязанность. — М.: Класс, 2004.</w:t>
      </w:r>
    </w:p>
    <w:p w14:paraId="431061C6" w14:textId="77777777" w:rsidR="007F7B01" w:rsidRDefault="007F7B01">
      <w:pPr>
        <w:pStyle w:val="ac"/>
        <w:numPr>
          <w:ilvl w:val="0"/>
          <w:numId w:val="3"/>
        </w:numPr>
      </w:pPr>
      <w:r>
        <w:t>Фрейд А. Эго и защитные механизмы. — М.: Просвещение, 1997.</w:t>
      </w:r>
    </w:p>
    <w:p w14:paraId="1A699477" w14:textId="77777777" w:rsidR="007F7B01" w:rsidRDefault="007F7B01"/>
    <w:sectPr w:rsidR="007F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7F252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CE105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54065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8825851">
    <w:abstractNumId w:val="0"/>
  </w:num>
  <w:num w:numId="2" w16cid:durableId="477260092">
    <w:abstractNumId w:val="1"/>
  </w:num>
  <w:num w:numId="3" w16cid:durableId="442265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01"/>
    <w:rsid w:val="00707EA5"/>
    <w:rsid w:val="00740BCC"/>
    <w:rsid w:val="007F7B01"/>
    <w:rsid w:val="00B7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6CAB3E"/>
  <w15:chartTrackingRefBased/>
  <w15:docId w15:val="{E21F354A-3BA7-2443-8F98-10AB0099C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7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7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7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7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7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7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7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7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7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7B0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7B0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7B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7B0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7B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7B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7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7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7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7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7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7B0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7B0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7B0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7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7B0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7B01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7F7B0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ad">
    <w:name w:val="Strong"/>
    <w:basedOn w:val="a0"/>
    <w:uiPriority w:val="22"/>
    <w:qFormat/>
    <w:rsid w:val="007F7B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 Хоркин</dc:creator>
  <cp:keywords/>
  <dc:description/>
  <cp:lastModifiedBy>Слава Хоркин</cp:lastModifiedBy>
  <cp:revision>2</cp:revision>
  <dcterms:created xsi:type="dcterms:W3CDTF">2025-06-12T22:26:00Z</dcterms:created>
  <dcterms:modified xsi:type="dcterms:W3CDTF">2025-06-12T22:26:00Z</dcterms:modified>
</cp:coreProperties>
</file>