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BD0" w:rsidRPr="00020BD0" w:rsidRDefault="00B80AA1" w:rsidP="005B2FC1">
      <w:pPr>
        <w:jc w:val="center"/>
      </w:pPr>
      <w:bookmarkStart w:id="0" w:name="_Toc531273370"/>
      <w:r w:rsidRPr="00020BD0">
        <w:t>М</w:t>
      </w:r>
      <w:r w:rsidR="0015202A" w:rsidRPr="00020BD0">
        <w:t>етодическая разработка</w:t>
      </w:r>
      <w:r w:rsidRPr="00020BD0">
        <w:t xml:space="preserve"> </w:t>
      </w:r>
      <w:proofErr w:type="spellStart"/>
      <w:r w:rsidR="0015202A" w:rsidRPr="00020BD0">
        <w:t>профориентационного</w:t>
      </w:r>
      <w:proofErr w:type="spellEnd"/>
      <w:r w:rsidR="0015202A" w:rsidRPr="00020BD0">
        <w:t xml:space="preserve"> занятия</w:t>
      </w:r>
      <w:r w:rsidR="00020BD0" w:rsidRPr="00020BD0">
        <w:t xml:space="preserve"> </w:t>
      </w:r>
    </w:p>
    <w:p w:rsidR="00284743" w:rsidRPr="00020BD0" w:rsidRDefault="00020BD0" w:rsidP="005B2FC1">
      <w:pPr>
        <w:jc w:val="center"/>
        <w:rPr>
          <w:b/>
          <w:i/>
        </w:rPr>
      </w:pPr>
      <w:r w:rsidRPr="00020BD0">
        <w:rPr>
          <w:b/>
          <w:i/>
        </w:rPr>
        <w:t>«Профессия</w:t>
      </w:r>
      <w:r>
        <w:rPr>
          <w:b/>
          <w:i/>
        </w:rPr>
        <w:t xml:space="preserve"> -</w:t>
      </w:r>
      <w:r w:rsidRPr="00020BD0">
        <w:rPr>
          <w:b/>
          <w:i/>
        </w:rPr>
        <w:t xml:space="preserve"> которую я выбираю»</w:t>
      </w:r>
      <w:bookmarkStart w:id="1" w:name="_GoBack"/>
      <w:bookmarkEnd w:id="1"/>
    </w:p>
    <w:p w:rsidR="00284743" w:rsidRPr="005B2FC1" w:rsidRDefault="00903E66" w:rsidP="005B2FC1">
      <w:pPr>
        <w:ind w:left="3544" w:firstLine="0"/>
        <w:jc w:val="left"/>
        <w:rPr>
          <w:i/>
        </w:rPr>
      </w:pPr>
      <w:r w:rsidRPr="005B2FC1">
        <w:rPr>
          <w:i/>
        </w:rPr>
        <w:t xml:space="preserve">И.Ю. </w:t>
      </w:r>
      <w:proofErr w:type="spellStart"/>
      <w:r w:rsidRPr="005B2FC1">
        <w:rPr>
          <w:i/>
        </w:rPr>
        <w:t>Кардаш</w:t>
      </w:r>
      <w:proofErr w:type="spellEnd"/>
      <w:r w:rsidRPr="005B2FC1">
        <w:rPr>
          <w:i/>
        </w:rPr>
        <w:t>, заместитель директора по УВР</w:t>
      </w:r>
      <w:r w:rsidR="00020BD0">
        <w:rPr>
          <w:i/>
        </w:rPr>
        <w:t>, МБОУ «СОШ № 64», г. Новокузнецка, Кемеровской области</w:t>
      </w:r>
      <w:proofErr w:type="gramStart"/>
      <w:r w:rsidR="00020BD0">
        <w:rPr>
          <w:i/>
        </w:rPr>
        <w:t xml:space="preserve"> --</w:t>
      </w:r>
      <w:proofErr w:type="gramEnd"/>
      <w:r w:rsidR="00020BD0">
        <w:rPr>
          <w:i/>
        </w:rPr>
        <w:t>Кузбасс</w:t>
      </w:r>
      <w:r w:rsidRPr="005B2FC1">
        <w:rPr>
          <w:i/>
        </w:rPr>
        <w:br/>
        <w:t xml:space="preserve">О.В. </w:t>
      </w:r>
      <w:proofErr w:type="spellStart"/>
      <w:r w:rsidRPr="005B2FC1">
        <w:rPr>
          <w:i/>
        </w:rPr>
        <w:t>Раннева</w:t>
      </w:r>
      <w:proofErr w:type="spellEnd"/>
      <w:r w:rsidRPr="005B2FC1">
        <w:rPr>
          <w:i/>
        </w:rPr>
        <w:t>, заместитель директо</w:t>
      </w:r>
      <w:r w:rsidR="00B80AA1" w:rsidRPr="005B2FC1">
        <w:rPr>
          <w:i/>
        </w:rPr>
        <w:t>р</w:t>
      </w:r>
      <w:r w:rsidRPr="005B2FC1">
        <w:rPr>
          <w:i/>
        </w:rPr>
        <w:t>а по ВР</w:t>
      </w:r>
      <w:r w:rsidR="00020BD0">
        <w:rPr>
          <w:i/>
        </w:rPr>
        <w:t>,</w:t>
      </w:r>
      <w:r w:rsidR="00020BD0" w:rsidRPr="00020BD0">
        <w:t xml:space="preserve"> </w:t>
      </w:r>
      <w:r w:rsidR="00020BD0" w:rsidRPr="00020BD0">
        <w:rPr>
          <w:i/>
        </w:rPr>
        <w:t>МБОУ «СОШ № 64», г. Новокузнецка, Кемеровской области --Кузбасс</w:t>
      </w:r>
    </w:p>
    <w:p w:rsidR="00284743" w:rsidRPr="005B2FC1" w:rsidRDefault="0015202A" w:rsidP="005B2FC1">
      <w:pPr>
        <w:pStyle w:val="1"/>
        <w:spacing w:before="0"/>
        <w:rPr>
          <w:rFonts w:ascii="Times New Roman" w:hAnsi="Times New Roman" w:cs="Times New Roman"/>
          <w:b/>
          <w:color w:val="auto"/>
          <w:sz w:val="24"/>
          <w:szCs w:val="24"/>
        </w:rPr>
      </w:pPr>
      <w:bookmarkStart w:id="2" w:name="_Toc531273371"/>
      <w:bookmarkStart w:id="3" w:name="_Toc201217744"/>
      <w:bookmarkEnd w:id="0"/>
      <w:r w:rsidRPr="005B2FC1">
        <w:rPr>
          <w:rFonts w:ascii="Times New Roman" w:hAnsi="Times New Roman" w:cs="Times New Roman"/>
          <w:b/>
          <w:color w:val="auto"/>
          <w:sz w:val="24"/>
          <w:szCs w:val="24"/>
        </w:rPr>
        <w:t>Введение</w:t>
      </w:r>
      <w:bookmarkEnd w:id="2"/>
      <w:bookmarkEnd w:id="3"/>
    </w:p>
    <w:p w:rsidR="00284743" w:rsidRPr="005B2FC1" w:rsidRDefault="0015202A" w:rsidP="005B2FC1">
      <w:pPr>
        <w:ind w:firstLine="709"/>
      </w:pPr>
      <w:r w:rsidRPr="005B2FC1">
        <w:t>Старший подростковый возраст - это период, когда школьники начинают задумываться о выборе будущего профессионального пути. Психологическая практика показывает, что старшим подросткам свойственна неадекватная оценка своих интеллектуальных способностей, психологических особенностей, личностных качеств и свойств, необходимых для конкретной профессиональной деятельности. Школьники плохо ориентируются в мире профессий, часто не готовы к построению индивидуальной образовательной траектории.</w:t>
      </w:r>
    </w:p>
    <w:p w:rsidR="00284743" w:rsidRPr="005B2FC1" w:rsidRDefault="0015202A" w:rsidP="005B2FC1">
      <w:pPr>
        <w:ind w:firstLine="709"/>
        <w:rPr>
          <w:b/>
          <w:lang w:eastAsia="ru-RU"/>
        </w:rPr>
      </w:pPr>
      <w:r w:rsidRPr="005B2FC1">
        <w:rPr>
          <w:lang w:eastAsia="ru-RU"/>
        </w:rPr>
        <w:t xml:space="preserve">В соответствии с Федеральным государственным образовательным стандартом психолого-педагогические условия реализации основной образовательной программы основного общего образования должны осуществлять «обеспечение осознанного и ответственного выбора дальнейшей профессиональной сферы деятельности». В связи с этим встает вопрос о необходимости психологического сопровождения </w:t>
      </w:r>
      <w:proofErr w:type="gramStart"/>
      <w:r w:rsidRPr="005B2FC1">
        <w:rPr>
          <w:lang w:eastAsia="ru-RU"/>
        </w:rPr>
        <w:t>обучающихся</w:t>
      </w:r>
      <w:proofErr w:type="gramEnd"/>
      <w:r w:rsidRPr="005B2FC1">
        <w:rPr>
          <w:lang w:eastAsia="ru-RU"/>
        </w:rPr>
        <w:t xml:space="preserve"> на этапе </w:t>
      </w:r>
      <w:proofErr w:type="spellStart"/>
      <w:r w:rsidRPr="005B2FC1">
        <w:rPr>
          <w:lang w:eastAsia="ru-RU"/>
        </w:rPr>
        <w:t>предпрофильной</w:t>
      </w:r>
      <w:proofErr w:type="spellEnd"/>
      <w:r w:rsidRPr="005B2FC1">
        <w:rPr>
          <w:lang w:eastAsia="ru-RU"/>
        </w:rPr>
        <w:t xml:space="preserve"> подготовки как помощи в предварительном профессиональном самоопределении.</w:t>
      </w:r>
    </w:p>
    <w:p w:rsidR="00284743" w:rsidRPr="005B2FC1" w:rsidRDefault="0015202A" w:rsidP="005B2FC1">
      <w:pPr>
        <w:ind w:firstLine="709"/>
      </w:pPr>
      <w:r w:rsidRPr="005B2FC1">
        <w:t>Данное занятие наряду с другими подобными предусматривает расширение информационного поля учащихся, способствует активизации процесса самопознания, формированию навыков целеполагания, анализа, моделирования, конструирования, а также умений соотносить свои потребности с реальными возможностями и сознательно выбирать предпочитаемые виды профессиональной деятельности.</w:t>
      </w:r>
    </w:p>
    <w:p w:rsidR="00284743" w:rsidRPr="005B2FC1" w:rsidRDefault="0015202A" w:rsidP="005B2FC1">
      <w:pPr>
        <w:ind w:firstLine="709"/>
      </w:pPr>
      <w:r w:rsidRPr="005B2FC1">
        <w:t xml:space="preserve">Занятие входит в программу факультативного курса «Правильный выбор», где, используя различные формы познания, учащиеся знакомятся с профессиями, их </w:t>
      </w:r>
      <w:proofErr w:type="spellStart"/>
      <w:r w:rsidRPr="005B2FC1">
        <w:t>профессиограммой</w:t>
      </w:r>
      <w:proofErr w:type="spellEnd"/>
      <w:r w:rsidRPr="005B2FC1">
        <w:t>, требованиями к ним, определяют ошибки в выборе профессии и учебного заведения, знакомятся с профессиями, востребованными на рынке труда, учатся строить жизненные и профессиональные планы, моделируют будущее с учетом потребностей и возможностей.</w:t>
      </w:r>
    </w:p>
    <w:p w:rsidR="00284743" w:rsidRPr="005B2FC1" w:rsidRDefault="0015202A" w:rsidP="005B2FC1">
      <w:pPr>
        <w:ind w:firstLine="709"/>
      </w:pPr>
      <w:r w:rsidRPr="005B2FC1">
        <w:rPr>
          <w:b/>
        </w:rPr>
        <w:t xml:space="preserve">Цель: </w:t>
      </w:r>
      <w:r w:rsidRPr="005B2FC1">
        <w:t>профессиональное самоопределение старшеклассников.</w:t>
      </w:r>
    </w:p>
    <w:p w:rsidR="00284743" w:rsidRPr="005B2FC1" w:rsidRDefault="0015202A" w:rsidP="005B2FC1">
      <w:pPr>
        <w:ind w:firstLine="709"/>
        <w:rPr>
          <w:b/>
        </w:rPr>
      </w:pPr>
      <w:r w:rsidRPr="005B2FC1">
        <w:rPr>
          <w:b/>
        </w:rPr>
        <w:t xml:space="preserve">Задачи: </w:t>
      </w:r>
      <w:r w:rsidRPr="005B2FC1">
        <w:t>проанализировать профессионально важные качества, присущие представителям разных профессий; определить наиболее подходящие направления профессиональной деятельности.</w:t>
      </w:r>
    </w:p>
    <w:p w:rsidR="00284743" w:rsidRPr="005B2FC1" w:rsidRDefault="0015202A" w:rsidP="005B2FC1">
      <w:pPr>
        <w:ind w:firstLine="709"/>
      </w:pPr>
      <w:r w:rsidRPr="005B2FC1">
        <w:rPr>
          <w:b/>
        </w:rPr>
        <w:t xml:space="preserve">Формы работы: </w:t>
      </w:r>
      <w:r w:rsidRPr="005B2FC1">
        <w:t xml:space="preserve">беседа, работа в </w:t>
      </w:r>
      <w:proofErr w:type="spellStart"/>
      <w:r w:rsidRPr="005B2FC1">
        <w:t>микрогруппах</w:t>
      </w:r>
      <w:proofErr w:type="spellEnd"/>
      <w:r w:rsidRPr="005B2FC1">
        <w:t>, игры, тестирование.</w:t>
      </w:r>
    </w:p>
    <w:p w:rsidR="00284743" w:rsidRPr="005B2FC1" w:rsidRDefault="0015202A" w:rsidP="005B2FC1">
      <w:pPr>
        <w:ind w:firstLine="709"/>
      </w:pPr>
      <w:r w:rsidRPr="005B2FC1">
        <w:rPr>
          <w:b/>
        </w:rPr>
        <w:t xml:space="preserve">Категория участников: </w:t>
      </w:r>
      <w:r w:rsidRPr="005B2FC1">
        <w:t>учащиеся 9-ых классов.</w:t>
      </w:r>
    </w:p>
    <w:p w:rsidR="00284743" w:rsidRPr="005B2FC1" w:rsidRDefault="0015202A" w:rsidP="005B2FC1">
      <w:pPr>
        <w:ind w:firstLine="709"/>
      </w:pPr>
      <w:r w:rsidRPr="005B2FC1">
        <w:rPr>
          <w:b/>
        </w:rPr>
        <w:t>Время проведения:</w:t>
      </w:r>
      <w:r w:rsidRPr="005B2FC1">
        <w:t xml:space="preserve"> 45 минут.</w:t>
      </w:r>
    </w:p>
    <w:p w:rsidR="00284743" w:rsidRPr="005B2FC1" w:rsidRDefault="0015202A" w:rsidP="005B2FC1">
      <w:pPr>
        <w:ind w:firstLine="709"/>
      </w:pPr>
      <w:r w:rsidRPr="005B2FC1">
        <w:rPr>
          <w:b/>
        </w:rPr>
        <w:t xml:space="preserve">Условия осуществления: </w:t>
      </w:r>
      <w:r w:rsidRPr="005B2FC1">
        <w:t>не более 15-ти учащихся.</w:t>
      </w:r>
    </w:p>
    <w:p w:rsidR="00284743" w:rsidRPr="005B2FC1" w:rsidRDefault="0015202A" w:rsidP="005B2FC1">
      <w:pPr>
        <w:ind w:firstLine="709"/>
      </w:pPr>
      <w:r w:rsidRPr="005B2FC1">
        <w:rPr>
          <w:b/>
        </w:rPr>
        <w:t>Оборудование</w:t>
      </w:r>
      <w:r w:rsidRPr="005B2FC1">
        <w:t>: учебный кабинет</w:t>
      </w:r>
      <w:r w:rsidR="00B80AA1" w:rsidRPr="005B2FC1">
        <w:t>.</w:t>
      </w:r>
    </w:p>
    <w:p w:rsidR="00284743" w:rsidRPr="005B2FC1" w:rsidRDefault="0015202A" w:rsidP="005B2FC1">
      <w:pPr>
        <w:pStyle w:val="1"/>
        <w:spacing w:before="0"/>
        <w:rPr>
          <w:rFonts w:ascii="Times New Roman" w:hAnsi="Times New Roman" w:cs="Times New Roman"/>
          <w:color w:val="auto"/>
          <w:sz w:val="24"/>
          <w:szCs w:val="24"/>
        </w:rPr>
      </w:pPr>
      <w:bookmarkStart w:id="4" w:name="_Toc531273372"/>
      <w:bookmarkStart w:id="5" w:name="_Toc201217745"/>
      <w:r w:rsidRPr="005B2FC1">
        <w:rPr>
          <w:rFonts w:ascii="Times New Roman" w:hAnsi="Times New Roman" w:cs="Times New Roman"/>
          <w:color w:val="auto"/>
          <w:sz w:val="24"/>
          <w:szCs w:val="24"/>
        </w:rPr>
        <w:t>Этапы психолого-</w:t>
      </w:r>
      <w:proofErr w:type="spellStart"/>
      <w:r w:rsidRPr="005B2FC1">
        <w:rPr>
          <w:rFonts w:ascii="Times New Roman" w:hAnsi="Times New Roman" w:cs="Times New Roman"/>
          <w:color w:val="auto"/>
          <w:sz w:val="24"/>
          <w:szCs w:val="24"/>
        </w:rPr>
        <w:t>профориентационного</w:t>
      </w:r>
      <w:proofErr w:type="spellEnd"/>
      <w:r w:rsidRPr="005B2FC1">
        <w:rPr>
          <w:rFonts w:ascii="Times New Roman" w:hAnsi="Times New Roman" w:cs="Times New Roman"/>
          <w:color w:val="auto"/>
          <w:sz w:val="24"/>
          <w:szCs w:val="24"/>
        </w:rPr>
        <w:t xml:space="preserve"> занятия:</w:t>
      </w:r>
      <w:bookmarkEnd w:id="4"/>
      <w:bookmarkEnd w:id="5"/>
    </w:p>
    <w:p w:rsidR="00284743" w:rsidRPr="005B2FC1" w:rsidRDefault="0015202A" w:rsidP="005B2FC1">
      <w:pPr>
        <w:pStyle w:val="af7"/>
        <w:numPr>
          <w:ilvl w:val="0"/>
          <w:numId w:val="2"/>
        </w:numPr>
      </w:pPr>
      <w:r w:rsidRPr="005B2FC1">
        <w:t>Информирование.</w:t>
      </w:r>
    </w:p>
    <w:p w:rsidR="00284743" w:rsidRPr="005B2FC1" w:rsidRDefault="0015202A" w:rsidP="005B2FC1">
      <w:pPr>
        <w:pStyle w:val="af7"/>
        <w:numPr>
          <w:ilvl w:val="0"/>
          <w:numId w:val="2"/>
        </w:numPr>
      </w:pPr>
      <w:r w:rsidRPr="005B2FC1">
        <w:t xml:space="preserve">Работа в </w:t>
      </w:r>
      <w:proofErr w:type="spellStart"/>
      <w:r w:rsidRPr="005B2FC1">
        <w:t>микрогруппах</w:t>
      </w:r>
      <w:proofErr w:type="spellEnd"/>
      <w:r w:rsidRPr="005B2FC1">
        <w:t>.</w:t>
      </w:r>
    </w:p>
    <w:p w:rsidR="00284743" w:rsidRPr="005B2FC1" w:rsidRDefault="0015202A" w:rsidP="005B2FC1">
      <w:pPr>
        <w:pStyle w:val="af7"/>
        <w:numPr>
          <w:ilvl w:val="0"/>
          <w:numId w:val="2"/>
        </w:numPr>
      </w:pPr>
      <w:r w:rsidRPr="005B2FC1">
        <w:t>Игра «Молчание – знак согласия».</w:t>
      </w:r>
    </w:p>
    <w:p w:rsidR="00284743" w:rsidRPr="005B2FC1" w:rsidRDefault="0015202A" w:rsidP="005B2FC1">
      <w:pPr>
        <w:pStyle w:val="af7"/>
        <w:numPr>
          <w:ilvl w:val="0"/>
          <w:numId w:val="2"/>
        </w:numPr>
      </w:pPr>
      <w:r w:rsidRPr="005B2FC1">
        <w:t>Тестирование.</w:t>
      </w:r>
    </w:p>
    <w:p w:rsidR="00284743" w:rsidRPr="005B2FC1" w:rsidRDefault="0015202A" w:rsidP="005B2FC1">
      <w:pPr>
        <w:pStyle w:val="af7"/>
        <w:numPr>
          <w:ilvl w:val="0"/>
          <w:numId w:val="2"/>
        </w:numPr>
      </w:pPr>
      <w:r w:rsidRPr="005B2FC1">
        <w:t>Домашнее задание.</w:t>
      </w:r>
    </w:p>
    <w:p w:rsidR="00284743" w:rsidRPr="005B2FC1" w:rsidRDefault="0015202A" w:rsidP="005B2FC1">
      <w:pPr>
        <w:pStyle w:val="af7"/>
        <w:numPr>
          <w:ilvl w:val="0"/>
          <w:numId w:val="2"/>
        </w:numPr>
      </w:pPr>
      <w:r w:rsidRPr="005B2FC1">
        <w:t>Итог занятия.</w:t>
      </w:r>
    </w:p>
    <w:p w:rsidR="00284743" w:rsidRPr="005B2FC1" w:rsidRDefault="0015202A" w:rsidP="005B2FC1">
      <w:pPr>
        <w:pStyle w:val="1"/>
        <w:spacing w:before="0"/>
        <w:rPr>
          <w:rFonts w:ascii="Times New Roman" w:hAnsi="Times New Roman" w:cs="Times New Roman"/>
          <w:b/>
          <w:color w:val="auto"/>
          <w:sz w:val="24"/>
          <w:szCs w:val="24"/>
        </w:rPr>
      </w:pPr>
      <w:bookmarkStart w:id="6" w:name="_Toc531273373"/>
      <w:bookmarkStart w:id="7" w:name="_Toc201217746"/>
      <w:r w:rsidRPr="005B2FC1">
        <w:rPr>
          <w:rFonts w:ascii="Times New Roman" w:hAnsi="Times New Roman" w:cs="Times New Roman"/>
          <w:b/>
          <w:color w:val="auto"/>
          <w:sz w:val="24"/>
          <w:szCs w:val="24"/>
        </w:rPr>
        <w:lastRenderedPageBreak/>
        <w:t>Ход занятия:</w:t>
      </w:r>
      <w:bookmarkEnd w:id="6"/>
      <w:bookmarkEnd w:id="7"/>
    </w:p>
    <w:p w:rsidR="00284743" w:rsidRPr="005B2FC1" w:rsidRDefault="0015202A" w:rsidP="005B2FC1">
      <w:pPr>
        <w:pStyle w:val="2"/>
        <w:spacing w:before="0"/>
        <w:rPr>
          <w:rFonts w:ascii="Times New Roman" w:hAnsi="Times New Roman" w:cs="Times New Roman"/>
          <w:b/>
          <w:color w:val="auto"/>
          <w:sz w:val="24"/>
          <w:szCs w:val="24"/>
        </w:rPr>
      </w:pPr>
      <w:bookmarkStart w:id="8" w:name="_Toc531273374"/>
      <w:bookmarkStart w:id="9" w:name="_Toc201217747"/>
      <w:r w:rsidRPr="005B2FC1">
        <w:rPr>
          <w:rFonts w:ascii="Times New Roman" w:hAnsi="Times New Roman" w:cs="Times New Roman"/>
          <w:b/>
          <w:color w:val="auto"/>
          <w:sz w:val="24"/>
          <w:szCs w:val="24"/>
        </w:rPr>
        <w:t>Информирование</w:t>
      </w:r>
      <w:bookmarkEnd w:id="8"/>
      <w:bookmarkEnd w:id="9"/>
    </w:p>
    <w:p w:rsidR="00284743" w:rsidRPr="005B2FC1" w:rsidRDefault="0015202A" w:rsidP="005B2FC1">
      <w:pPr>
        <w:tabs>
          <w:tab w:val="left" w:pos="709"/>
        </w:tabs>
        <w:ind w:firstLine="709"/>
      </w:pPr>
      <w:r w:rsidRPr="005B2FC1">
        <w:rPr>
          <w:i/>
        </w:rPr>
        <w:t xml:space="preserve">Слово учителя. </w:t>
      </w:r>
      <w:r w:rsidRPr="005B2FC1">
        <w:t xml:space="preserve">Не только человек выбирает профессию. Любая профессиональная деятельность отбирает людей, обладающих набором черт качеств, необходимых для успешности этой деятельности. Эти качества называются профессионально важными. Работа врача, учителя, продавца требует от человека доброжелательности, отзывчивости, умения контролировать свои эмоции. Для диспетчера или оператора профессионально важными качествами являются хорошее внимание, умение работать с разнородной информацией и оперативно принимать решение. Оперативный работник, сотрудник МЧС, пожарный должны быть эмоционально устойчивыми и хладнокровными, обладать мгновенной реакцией, силой и выносливостью. Недостаток этих качеств может стоить им здоровья или жизни. </w:t>
      </w:r>
    </w:p>
    <w:p w:rsidR="00284743" w:rsidRPr="005B2FC1" w:rsidRDefault="0015202A" w:rsidP="005B2FC1">
      <w:pPr>
        <w:ind w:firstLine="709"/>
      </w:pPr>
      <w:r w:rsidRPr="005B2FC1">
        <w:t>Хорошо, если интерес к профессии сочетается с набором качеств, профессионально важных для этой профессии. А если этих качеств нет? Если профессиональный интерес слабый или неустойчивый, лучше изменить свой выбор: «Не получится из меня хорошего артиста — не больно и хотелось, пойду в юристы!»</w:t>
      </w:r>
    </w:p>
    <w:p w:rsidR="00284743" w:rsidRPr="005B2FC1" w:rsidRDefault="0015202A" w:rsidP="005B2FC1">
      <w:pPr>
        <w:ind w:firstLine="709"/>
      </w:pPr>
      <w:r w:rsidRPr="005B2FC1">
        <w:t xml:space="preserve">Однажды к Герою Советского Союза летчику-испытателю М.М. Громову обратился молодой человек с просьбой принять его. «Мне хочется стать таким же отличным летчиком, как Вы», — объяснил он. Громов назначил встречу. Юноша явился с опозданием, объяснив, что забыл завести часы. Громов долго рассказывал ему о профессии летчика, а потом назвал адрес учреждения, куда нужно было обратиться. Юноша лихорадочно стал ощупывать карманы в поисках ручки или карандаша. «Вы всегда носите карандаш в одном и том же кармане?» — спросил Громов. Юноша не знал, что ответить. Адрес он записал небрежно и вспыхнул, когда ему сделали замечание. «Когда он ушел, — пишет Громов, — я невольно подумал, насколько не подготовлен он к избранной профессии. Достаточно было непродолжительного общения, чтобы заметить уже укоренившиеся недостатки в нем, которые в авиационной профессии могут сыграть плохую роль. Юноша неточен, небрежен, </w:t>
      </w:r>
      <w:proofErr w:type="spellStart"/>
      <w:r w:rsidRPr="005B2FC1">
        <w:t>неорганизован</w:t>
      </w:r>
      <w:proofErr w:type="spellEnd"/>
      <w:r w:rsidRPr="005B2FC1">
        <w:t xml:space="preserve">, у него плохая память, он не умеет владеть собой». </w:t>
      </w:r>
    </w:p>
    <w:p w:rsidR="00284743" w:rsidRPr="005B2FC1" w:rsidRDefault="0015202A" w:rsidP="005B2FC1">
      <w:pPr>
        <w:ind w:firstLine="709"/>
      </w:pPr>
      <w:r w:rsidRPr="005B2FC1">
        <w:t>А вот как описывает требования к летной профессии академик В.А. Пономаренко, автор концепции «человеческого фактора в авиации»:</w:t>
      </w:r>
      <w:r w:rsidR="00B80AA1" w:rsidRPr="005B2FC1">
        <w:t xml:space="preserve"> </w:t>
      </w:r>
      <w:r w:rsidRPr="005B2FC1">
        <w:t xml:space="preserve">«Если человек не может отказаться от своей мечты, то в его силах развить необходимые качества или компенсировать их отсутствие полезными привычками и эффективными приемами организации труда. Справиться с забывчивостью помогает систематическое ведение различных записей, преодолеть страх высоты — сила воли и самообладание, слабость пространственного и образного мышления — использование макетов и наглядных пособий. Например, отсутствие выраженных аналитических способностей юрист может компенсировать усидчивостью, высокой работоспособностью. Но есть качества, отсутствие которых ничем нельзя компенсировать, например, порядочность, ответственность, трудолюбие. Непорядочный, ленивый или безответственный человек на своем рабочем месте способен создать много проблем, и чем </w:t>
      </w:r>
      <w:proofErr w:type="spellStart"/>
      <w:r w:rsidRPr="005B2FC1">
        <w:t>ответственнее</w:t>
      </w:r>
      <w:proofErr w:type="spellEnd"/>
      <w:r w:rsidRPr="005B2FC1">
        <w:t xml:space="preserve"> его работа, тем он опаснее для окружающих».</w:t>
      </w:r>
    </w:p>
    <w:p w:rsidR="00284743" w:rsidRPr="005B2FC1" w:rsidRDefault="0015202A" w:rsidP="005B2FC1">
      <w:pPr>
        <w:ind w:firstLine="709"/>
      </w:pPr>
      <w:r w:rsidRPr="005B2FC1">
        <w:t>Бывает так, что человек достигает профессионального успеха вопреки, казалось бы, непреодолимым обстоятельствам. Бетховен был глухим, Мильтон слепым, но они бессмертны, потому что они умели не только мечтать, но и претворять свои мечты в жизнь.</w:t>
      </w:r>
    </w:p>
    <w:p w:rsidR="00284743" w:rsidRPr="005B2FC1" w:rsidRDefault="0015202A" w:rsidP="005B2FC1">
      <w:pPr>
        <w:pStyle w:val="2"/>
        <w:spacing w:before="0"/>
        <w:rPr>
          <w:rFonts w:ascii="Times New Roman" w:hAnsi="Times New Roman" w:cs="Times New Roman"/>
          <w:b/>
          <w:color w:val="auto"/>
          <w:sz w:val="24"/>
          <w:szCs w:val="24"/>
        </w:rPr>
      </w:pPr>
      <w:bookmarkStart w:id="10" w:name="_Toc531273375"/>
      <w:bookmarkStart w:id="11" w:name="_Toc201217748"/>
      <w:r w:rsidRPr="005B2FC1">
        <w:rPr>
          <w:rFonts w:ascii="Times New Roman" w:hAnsi="Times New Roman" w:cs="Times New Roman"/>
          <w:b/>
          <w:color w:val="auto"/>
          <w:sz w:val="24"/>
          <w:szCs w:val="24"/>
        </w:rPr>
        <w:t xml:space="preserve">Работа в </w:t>
      </w:r>
      <w:proofErr w:type="spellStart"/>
      <w:r w:rsidRPr="005B2FC1">
        <w:rPr>
          <w:rFonts w:ascii="Times New Roman" w:hAnsi="Times New Roman" w:cs="Times New Roman"/>
          <w:b/>
          <w:color w:val="auto"/>
          <w:sz w:val="24"/>
          <w:szCs w:val="24"/>
        </w:rPr>
        <w:t>микрогруппах</w:t>
      </w:r>
      <w:bookmarkEnd w:id="10"/>
      <w:bookmarkEnd w:id="11"/>
      <w:proofErr w:type="spellEnd"/>
    </w:p>
    <w:p w:rsidR="00284743" w:rsidRPr="005B2FC1" w:rsidRDefault="0015202A" w:rsidP="005B2FC1">
      <w:pPr>
        <w:pStyle w:val="af7"/>
        <w:ind w:left="0" w:firstLine="709"/>
        <w:jc w:val="left"/>
      </w:pPr>
      <w:r w:rsidRPr="005B2FC1">
        <w:t xml:space="preserve">Заполните таблицу, написав в каждой ячейке по три слова. Если вы уверены, что обладаете </w:t>
      </w:r>
      <w:proofErr w:type="gramStart"/>
      <w:r w:rsidRPr="005B2FC1">
        <w:t>какими-то</w:t>
      </w:r>
      <w:proofErr w:type="gramEnd"/>
      <w:r w:rsidRPr="005B2FC1">
        <w:t xml:space="preserve"> из перечисленных качеств, подчеркните их.</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2268"/>
        <w:gridCol w:w="2268"/>
        <w:gridCol w:w="2268"/>
      </w:tblGrid>
      <w:tr w:rsidR="00B80AA1" w:rsidRPr="005B2FC1" w:rsidTr="00903E66">
        <w:trPr>
          <w:trHeight w:val="375"/>
          <w:tblCellSpacing w:w="0" w:type="dxa"/>
          <w:jc w:val="center"/>
        </w:trPr>
        <w:tc>
          <w:tcPr>
            <w:tcW w:w="1477" w:type="pct"/>
            <w:shd w:val="clear" w:color="auto" w:fill="FFFFFF"/>
            <w:vAlign w:val="center"/>
          </w:tcPr>
          <w:p w:rsidR="00284743" w:rsidRPr="005B2FC1" w:rsidRDefault="0015202A" w:rsidP="005B2FC1">
            <w:pPr>
              <w:ind w:firstLine="0"/>
              <w:jc w:val="center"/>
            </w:pPr>
            <w:r w:rsidRPr="005B2FC1">
              <w:t>Тип профессии</w:t>
            </w:r>
          </w:p>
        </w:tc>
        <w:tc>
          <w:tcPr>
            <w:tcW w:w="1174" w:type="pct"/>
            <w:shd w:val="clear" w:color="auto" w:fill="FFFFFF"/>
            <w:vAlign w:val="center"/>
          </w:tcPr>
          <w:p w:rsidR="00284743" w:rsidRPr="005B2FC1" w:rsidRDefault="0015202A" w:rsidP="005B2FC1">
            <w:pPr>
              <w:ind w:firstLine="0"/>
              <w:jc w:val="center"/>
            </w:pPr>
            <w:r w:rsidRPr="005B2FC1">
              <w:t>Черты характера</w:t>
            </w:r>
          </w:p>
        </w:tc>
        <w:tc>
          <w:tcPr>
            <w:tcW w:w="1174" w:type="pct"/>
            <w:shd w:val="clear" w:color="auto" w:fill="FFFFFF"/>
            <w:vAlign w:val="center"/>
          </w:tcPr>
          <w:p w:rsidR="00284743" w:rsidRPr="005B2FC1" w:rsidRDefault="0015202A" w:rsidP="005B2FC1">
            <w:pPr>
              <w:ind w:firstLine="0"/>
              <w:jc w:val="center"/>
            </w:pPr>
            <w:r w:rsidRPr="005B2FC1">
              <w:t>Особенности мышления</w:t>
            </w:r>
          </w:p>
        </w:tc>
        <w:tc>
          <w:tcPr>
            <w:tcW w:w="1174" w:type="pct"/>
            <w:shd w:val="clear" w:color="auto" w:fill="FFFFFF"/>
            <w:vAlign w:val="center"/>
          </w:tcPr>
          <w:p w:rsidR="00284743" w:rsidRPr="005B2FC1" w:rsidRDefault="0015202A" w:rsidP="005B2FC1">
            <w:pPr>
              <w:ind w:firstLine="0"/>
              <w:jc w:val="center"/>
            </w:pPr>
            <w:r w:rsidRPr="005B2FC1">
              <w:t>Свойства нервной системы</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t>Реалистический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t>Интеллектуальный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lastRenderedPageBreak/>
              <w:t>Социальный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t>Офисный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t>Предпринимательский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r w:rsidR="00B80AA1" w:rsidRPr="005B2FC1" w:rsidTr="00903E66">
        <w:trPr>
          <w:trHeight w:val="375"/>
          <w:tblCellSpacing w:w="0" w:type="dxa"/>
          <w:jc w:val="center"/>
        </w:trPr>
        <w:tc>
          <w:tcPr>
            <w:tcW w:w="1477" w:type="pct"/>
            <w:shd w:val="clear" w:color="auto" w:fill="FFFFFF"/>
            <w:vAlign w:val="center"/>
          </w:tcPr>
          <w:p w:rsidR="00284743" w:rsidRPr="005B2FC1" w:rsidRDefault="00B80AA1" w:rsidP="005B2FC1">
            <w:pPr>
              <w:ind w:firstLine="0"/>
            </w:pPr>
            <w:r w:rsidRPr="005B2FC1">
              <w:t>Артистический</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c>
          <w:tcPr>
            <w:tcW w:w="1174" w:type="pct"/>
            <w:shd w:val="clear" w:color="auto" w:fill="FFFFFF"/>
            <w:vAlign w:val="center"/>
          </w:tcPr>
          <w:p w:rsidR="00284743" w:rsidRPr="005B2FC1" w:rsidRDefault="0015202A" w:rsidP="005B2FC1">
            <w:pPr>
              <w:ind w:firstLine="0"/>
              <w:jc w:val="left"/>
            </w:pPr>
            <w:r w:rsidRPr="005B2FC1">
              <w:t> </w:t>
            </w:r>
          </w:p>
        </w:tc>
      </w:tr>
    </w:tbl>
    <w:p w:rsidR="00284743" w:rsidRPr="005B2FC1" w:rsidRDefault="0015202A" w:rsidP="005B2FC1">
      <w:pPr>
        <w:pStyle w:val="2"/>
        <w:spacing w:before="0"/>
        <w:rPr>
          <w:rFonts w:ascii="Times New Roman" w:hAnsi="Times New Roman" w:cs="Times New Roman"/>
          <w:b/>
          <w:color w:val="auto"/>
          <w:sz w:val="24"/>
          <w:szCs w:val="24"/>
        </w:rPr>
      </w:pPr>
      <w:bookmarkStart w:id="12" w:name="_Toc531273376"/>
      <w:bookmarkStart w:id="13" w:name="_Toc201217749"/>
      <w:r w:rsidRPr="005B2FC1">
        <w:rPr>
          <w:rFonts w:ascii="Times New Roman" w:hAnsi="Times New Roman" w:cs="Times New Roman"/>
          <w:b/>
          <w:color w:val="auto"/>
          <w:sz w:val="24"/>
          <w:szCs w:val="24"/>
        </w:rPr>
        <w:t>Игра «Молчание — знак согласия»</w:t>
      </w:r>
      <w:bookmarkEnd w:id="12"/>
      <w:bookmarkEnd w:id="13"/>
    </w:p>
    <w:p w:rsidR="00284743" w:rsidRPr="005B2FC1" w:rsidRDefault="0015202A" w:rsidP="005B2FC1">
      <w:pPr>
        <w:ind w:firstLine="709"/>
      </w:pPr>
      <w:r w:rsidRPr="005B2FC1">
        <w:t>Один ученик выходит из класса, а в это время остальные придумывают профессию, которую он должен отгадать, перечисляя необходимые для нее профессионально важные качества. Учащиеся молчат, если качество названо правильно, и хором говорят «нет», если это качество не является профессионально важным для данной профессии. После того, как профессия будет отгадана, за дверь выходит другой ученик. Выигрывает тот, кому для решения задачи потребуется наименьшее число вопросов.</w:t>
      </w:r>
      <w:bookmarkStart w:id="14" w:name="zad3"/>
    </w:p>
    <w:p w:rsidR="00284743" w:rsidRPr="005B2FC1" w:rsidRDefault="0015202A" w:rsidP="005B2FC1">
      <w:pPr>
        <w:pStyle w:val="2"/>
        <w:spacing w:before="0"/>
        <w:rPr>
          <w:rFonts w:ascii="Times New Roman" w:hAnsi="Times New Roman" w:cs="Times New Roman"/>
          <w:b/>
          <w:color w:val="auto"/>
          <w:sz w:val="24"/>
          <w:szCs w:val="24"/>
        </w:rPr>
      </w:pPr>
      <w:bookmarkStart w:id="15" w:name="_Toc531273377"/>
      <w:bookmarkStart w:id="16" w:name="_Toc201217750"/>
      <w:r w:rsidRPr="005B2FC1">
        <w:rPr>
          <w:rFonts w:ascii="Times New Roman" w:hAnsi="Times New Roman" w:cs="Times New Roman"/>
          <w:b/>
          <w:color w:val="auto"/>
          <w:sz w:val="24"/>
          <w:szCs w:val="24"/>
        </w:rPr>
        <w:t>Тестирование</w:t>
      </w:r>
      <w:bookmarkEnd w:id="15"/>
      <w:bookmarkEnd w:id="16"/>
    </w:p>
    <w:p w:rsidR="00284743" w:rsidRPr="005B2FC1" w:rsidRDefault="0015202A" w:rsidP="005B2FC1">
      <w:pPr>
        <w:ind w:firstLine="709"/>
      </w:pPr>
      <w:r w:rsidRPr="005B2FC1">
        <w:t>Методика «Определение типа будущей профессии»</w:t>
      </w:r>
      <w:bookmarkEnd w:id="14"/>
      <w:r w:rsidRPr="005B2FC1">
        <w:t xml:space="preserve"> (Е.А. Климов).</w:t>
      </w:r>
    </w:p>
    <w:p w:rsidR="00284743" w:rsidRPr="005B2FC1" w:rsidRDefault="0015202A" w:rsidP="005B2FC1">
      <w:pPr>
        <w:ind w:firstLine="709"/>
      </w:pPr>
      <w:r w:rsidRPr="005B2FC1">
        <w:t>Прочитайте данные высказывания. Если они вам подходят, то перед цифрой в клетке поставьте «+», если нет - поставьте</w:t>
      </w:r>
      <w:proofErr w:type="gramStart"/>
      <w:r w:rsidRPr="005B2FC1">
        <w:t xml:space="preserve"> «—». </w:t>
      </w:r>
      <w:proofErr w:type="gramEnd"/>
      <w:r w:rsidRPr="005B2FC1">
        <w:t>Если сомневаетесь, зачеркните цифру.</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486"/>
        <w:gridCol w:w="269"/>
        <w:gridCol w:w="242"/>
        <w:gridCol w:w="216"/>
        <w:gridCol w:w="269"/>
        <w:gridCol w:w="251"/>
      </w:tblGrid>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 Легко знакомлюсь с людьми.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 Охотно и подолгу могу что-нибудь мастерить.</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3. Люблю ходить в музеи, театры, на выставки.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4. Охотно и постоянно ухаживаю за растениями, животными.</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5. Охотно и подолгу могу что-нибудь вычислять, чертить.</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6. С удовольствием общаюсь со сверстниками или малышами.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7. С удовольствием ухаживаю за растениями и животными.</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8. Обычно делаю мало ошибок в письменных работах.</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9. Мои изделия обычно вызывают интерес у товарищей, старших.</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10. Люди считают, что у меня есть художественные способности.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11. Охотно читаю о растениях, животных.</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12. Принимаю участие в спектаклях, концертах.</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13. Люблю читать об устройстве механизмов, приборов, машин</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14. Подолгу могу разгадывать головоломки, задачи, ребусы.</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15. Легко улаживаю разногласия между людьми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16. Считают, что у меня есть способности к работе с техникой.</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17. Людям нравится мое художественное творчество/</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18. У меня есть способности к работе с растениями и животными.</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19. Я могу ясно излагать свои мысли в письменной форме.</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20. Я почти никогда ни с кем не ссорюсь.</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21. Результаты моего технического творчества одобряют даже незнакомые люди.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22. Без особого труда усваиваю иностранные языки.</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23. Мне часто случается помогать даже незнакомым людям</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24. Подолгу могу заниматься музыкой, рисованием, читать книги и т. д.</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25. Могу влиять на ход развития растений и животных.</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2</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26. Люблю разбираться в устройстве механизмов, приборов.</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27. Мне обычно удается убедить людей в своей правоте.</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28. Охотно наблюдаю за растениями или животными.</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 xml:space="preserve">29.Охотно читаю научно-популярную, критическую литературу, </w:t>
            </w:r>
            <w:r w:rsidR="0045065A" w:rsidRPr="005B2FC1">
              <w:t>п</w:t>
            </w:r>
            <w:r w:rsidRPr="005B2FC1">
              <w:t>ублицистику.</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pPr>
            <w:r w:rsidRPr="005B2FC1">
              <w:t xml:space="preserve">30. Стараюсь понять секреты мастерства и пробую свои силы в живописи, </w:t>
            </w:r>
            <w:r w:rsidRPr="005B2FC1">
              <w:lastRenderedPageBreak/>
              <w:t>музыке и т. п.</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1</w:t>
            </w:r>
          </w:p>
        </w:tc>
        <w:tc>
          <w:tcPr>
            <w:tcW w:w="0" w:type="auto"/>
            <w:shd w:val="clear" w:color="auto" w:fill="FFFFFF"/>
            <w:tcMar>
              <w:top w:w="0" w:type="dxa"/>
              <w:left w:w="75" w:type="dxa"/>
              <w:bottom w:w="0" w:type="dxa"/>
              <w:right w:w="0" w:type="dxa"/>
            </w:tcMar>
            <w:vAlign w:val="center"/>
          </w:tcPr>
          <w:p w:rsidR="00284743" w:rsidRPr="005B2FC1" w:rsidRDefault="00284743" w:rsidP="005B2FC1">
            <w:pPr>
              <w:ind w:firstLine="0"/>
              <w:jc w:val="center"/>
            </w:pPr>
          </w:p>
        </w:tc>
      </w:tr>
      <w:tr w:rsidR="00B80AA1" w:rsidRPr="005B2FC1" w:rsidTr="0045065A">
        <w:trPr>
          <w:trHeight w:val="300"/>
          <w:tblCellSpacing w:w="0" w:type="dxa"/>
          <w:jc w:val="center"/>
        </w:trPr>
        <w:tc>
          <w:tcPr>
            <w:tcW w:w="0" w:type="auto"/>
            <w:shd w:val="clear" w:color="auto" w:fill="FFFFFF"/>
            <w:tcMar>
              <w:top w:w="0" w:type="dxa"/>
              <w:left w:w="75" w:type="dxa"/>
              <w:bottom w:w="0" w:type="dxa"/>
              <w:right w:w="0" w:type="dxa"/>
            </w:tcMar>
            <w:vAlign w:val="center"/>
          </w:tcPr>
          <w:p w:rsidR="00284743" w:rsidRPr="005B2FC1" w:rsidRDefault="0045065A" w:rsidP="005B2FC1">
            <w:pPr>
              <w:ind w:firstLine="0"/>
              <w:jc w:val="left"/>
            </w:pPr>
            <w:r w:rsidRPr="005B2FC1">
              <w:lastRenderedPageBreak/>
              <w:t>РЕЗУЛЬТАТЫ</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proofErr w:type="gramStart"/>
            <w:r w:rsidRPr="005B2FC1">
              <w:t>П</w:t>
            </w:r>
            <w:proofErr w:type="gramEnd"/>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Т</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proofErr w:type="gramStart"/>
            <w:r w:rsidRPr="005B2FC1">
              <w:t>З</w:t>
            </w:r>
            <w:proofErr w:type="gramEnd"/>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Х</w:t>
            </w:r>
          </w:p>
        </w:tc>
        <w:tc>
          <w:tcPr>
            <w:tcW w:w="0" w:type="auto"/>
            <w:shd w:val="clear" w:color="auto" w:fill="FFFFFF"/>
            <w:tcMar>
              <w:top w:w="0" w:type="dxa"/>
              <w:left w:w="75" w:type="dxa"/>
              <w:bottom w:w="0" w:type="dxa"/>
              <w:right w:w="0" w:type="dxa"/>
            </w:tcMar>
            <w:vAlign w:val="center"/>
          </w:tcPr>
          <w:p w:rsidR="00284743" w:rsidRPr="005B2FC1" w:rsidRDefault="0015202A" w:rsidP="005B2FC1">
            <w:pPr>
              <w:ind w:firstLine="0"/>
              <w:jc w:val="center"/>
            </w:pPr>
            <w:r w:rsidRPr="005B2FC1">
              <w:t>Ч</w:t>
            </w:r>
          </w:p>
        </w:tc>
      </w:tr>
    </w:tbl>
    <w:p w:rsidR="00284743" w:rsidRPr="005B2FC1" w:rsidRDefault="0015202A" w:rsidP="005B2FC1">
      <w:pPr>
        <w:ind w:firstLine="709"/>
        <w:rPr>
          <w:b/>
        </w:rPr>
      </w:pPr>
      <w:r w:rsidRPr="005B2FC1">
        <w:rPr>
          <w:b/>
        </w:rPr>
        <w:t>Обработка и интерпретация результатов</w:t>
      </w:r>
    </w:p>
    <w:p w:rsidR="00284743" w:rsidRPr="005B2FC1" w:rsidRDefault="00012F63" w:rsidP="005B2FC1">
      <w:pPr>
        <w:ind w:firstLine="709"/>
      </w:pPr>
      <w:r w:rsidRPr="005B2FC1">
        <w:t xml:space="preserve">По каждому столбцу подсчитайте </w:t>
      </w:r>
      <w:r w:rsidR="0015202A" w:rsidRPr="005B2FC1">
        <w:t>алгебраическую, то есть с учетом знаков, сумму. Зачеркнутые цифры не считайте. Запишите сумму в строку «Результаты».</w:t>
      </w:r>
    </w:p>
    <w:p w:rsidR="00284743" w:rsidRPr="005B2FC1" w:rsidRDefault="0015202A" w:rsidP="005B2FC1">
      <w:pPr>
        <w:ind w:firstLine="709"/>
      </w:pPr>
      <w:r w:rsidRPr="005B2FC1">
        <w:t>Наибольшая полученная сумма или суммы (по нескольким столбцам) указывает на наиболее подходящий вам тип профессии, который обозначен буквами:</w:t>
      </w:r>
      <w:r w:rsidR="00012F63" w:rsidRPr="005B2FC1">
        <w:t xml:space="preserve"> </w:t>
      </w:r>
      <w:proofErr w:type="gramStart"/>
      <w:r w:rsidRPr="005B2FC1">
        <w:t>П</w:t>
      </w:r>
      <w:proofErr w:type="gramEnd"/>
      <w:r w:rsidRPr="005B2FC1">
        <w:t xml:space="preserve"> (природа),</w:t>
      </w:r>
      <w:r w:rsidR="00012F63" w:rsidRPr="005B2FC1">
        <w:t xml:space="preserve"> Т (техника), </w:t>
      </w:r>
      <w:r w:rsidRPr="005B2FC1">
        <w:t>З (знак),</w:t>
      </w:r>
      <w:r w:rsidR="00012F63" w:rsidRPr="005B2FC1">
        <w:t xml:space="preserve"> Х (художественный образ), </w:t>
      </w:r>
      <w:r w:rsidRPr="005B2FC1">
        <w:t>Ч (человек).</w:t>
      </w:r>
    </w:p>
    <w:p w:rsidR="00284743" w:rsidRPr="005B2FC1" w:rsidRDefault="0015202A" w:rsidP="005B2FC1">
      <w:pPr>
        <w:ind w:firstLine="709"/>
      </w:pPr>
      <w:r w:rsidRPr="005B2FC1">
        <w:t>Максимальное число баллов в каждом столбце — 8 - говорит о ярко выраженном интересе к одному из пяти предметов труда.</w:t>
      </w:r>
    </w:p>
    <w:p w:rsidR="00284743" w:rsidRPr="005B2FC1" w:rsidRDefault="0015202A" w:rsidP="005B2FC1">
      <w:pPr>
        <w:ind w:firstLine="709"/>
      </w:pPr>
      <w:r w:rsidRPr="005B2FC1">
        <w:t>Минимальное количество в колонке означает отсутствие интереса к данному предмету труда.</w:t>
      </w:r>
    </w:p>
    <w:p w:rsidR="00284743" w:rsidRPr="005B2FC1" w:rsidRDefault="0015202A" w:rsidP="005B2FC1">
      <w:pPr>
        <w:ind w:firstLine="709"/>
      </w:pPr>
      <w:r w:rsidRPr="005B2FC1">
        <w:t>Запишите три предмета труда, набравшие большее число баллов.</w:t>
      </w:r>
    </w:p>
    <w:p w:rsidR="00284743" w:rsidRPr="005B2FC1" w:rsidRDefault="0015202A" w:rsidP="005B2FC1">
      <w:pPr>
        <w:pStyle w:val="2"/>
        <w:spacing w:before="0"/>
        <w:rPr>
          <w:rFonts w:ascii="Times New Roman" w:hAnsi="Times New Roman" w:cs="Times New Roman"/>
          <w:b/>
          <w:color w:val="auto"/>
          <w:sz w:val="24"/>
          <w:szCs w:val="24"/>
        </w:rPr>
      </w:pPr>
      <w:bookmarkStart w:id="17" w:name="_Toc531273378"/>
      <w:bookmarkStart w:id="18" w:name="_Toc201217751"/>
      <w:r w:rsidRPr="005B2FC1">
        <w:rPr>
          <w:rStyle w:val="20"/>
          <w:rFonts w:ascii="Times New Roman" w:hAnsi="Times New Roman" w:cs="Times New Roman"/>
          <w:b/>
          <w:color w:val="auto"/>
          <w:sz w:val="24"/>
          <w:szCs w:val="24"/>
        </w:rPr>
        <w:t>Домашнее задание</w:t>
      </w:r>
      <w:bookmarkEnd w:id="17"/>
      <w:bookmarkEnd w:id="18"/>
    </w:p>
    <w:p w:rsidR="00284743" w:rsidRPr="005B2FC1" w:rsidRDefault="0015202A" w:rsidP="005B2FC1">
      <w:pPr>
        <w:ind w:firstLine="709"/>
      </w:pPr>
      <w:r w:rsidRPr="005B2FC1">
        <w:t>Перечислите универсальные черты характера, отличающие успешного специалиста в любой области. Какими из них вы обладаете?</w:t>
      </w:r>
    </w:p>
    <w:p w:rsidR="00284743" w:rsidRPr="005B2FC1" w:rsidRDefault="0015202A" w:rsidP="005B2FC1">
      <w:pPr>
        <w:pStyle w:val="2"/>
        <w:spacing w:before="0"/>
        <w:rPr>
          <w:rFonts w:ascii="Times New Roman" w:hAnsi="Times New Roman" w:cs="Times New Roman"/>
          <w:b/>
          <w:color w:val="auto"/>
          <w:sz w:val="24"/>
          <w:szCs w:val="24"/>
        </w:rPr>
      </w:pPr>
      <w:bookmarkStart w:id="19" w:name="_Toc201217752"/>
      <w:r w:rsidRPr="005B2FC1">
        <w:rPr>
          <w:rFonts w:ascii="Times New Roman" w:hAnsi="Times New Roman" w:cs="Times New Roman"/>
          <w:b/>
          <w:color w:val="auto"/>
          <w:sz w:val="24"/>
          <w:szCs w:val="24"/>
        </w:rPr>
        <w:t>Итог занятия</w:t>
      </w:r>
      <w:bookmarkEnd w:id="19"/>
    </w:p>
    <w:p w:rsidR="00284743" w:rsidRPr="005B2FC1" w:rsidRDefault="0015202A" w:rsidP="005B2FC1">
      <w:r w:rsidRPr="005B2FC1">
        <w:t>Вы познакомились с основными профессиональными качествами, подумали, какими из них вы обладаете или хотели бы обладать, узнали, какой тип профессии вам более интересен и подходит. Все это поможет вам в дальнейшем профессиональном самоопределении и построении карьеры.</w:t>
      </w:r>
    </w:p>
    <w:p w:rsidR="00284743" w:rsidRPr="005B2FC1" w:rsidRDefault="0015202A" w:rsidP="005B2FC1">
      <w:pPr>
        <w:pStyle w:val="2"/>
        <w:spacing w:before="0"/>
        <w:rPr>
          <w:rFonts w:ascii="Times New Roman" w:hAnsi="Times New Roman" w:cs="Times New Roman"/>
          <w:b/>
          <w:color w:val="auto"/>
          <w:sz w:val="24"/>
          <w:szCs w:val="24"/>
        </w:rPr>
      </w:pPr>
      <w:bookmarkStart w:id="20" w:name="_Toc201217753"/>
      <w:r w:rsidRPr="005B2FC1">
        <w:rPr>
          <w:rFonts w:ascii="Times New Roman" w:hAnsi="Times New Roman" w:cs="Times New Roman"/>
          <w:b/>
          <w:color w:val="auto"/>
          <w:sz w:val="24"/>
          <w:szCs w:val="24"/>
        </w:rPr>
        <w:t>Заключение</w:t>
      </w:r>
      <w:bookmarkEnd w:id="20"/>
      <w:r w:rsidRPr="005B2FC1">
        <w:rPr>
          <w:rFonts w:ascii="Times New Roman" w:hAnsi="Times New Roman" w:cs="Times New Roman"/>
          <w:b/>
          <w:color w:val="auto"/>
          <w:sz w:val="24"/>
          <w:szCs w:val="24"/>
        </w:rPr>
        <w:t xml:space="preserve"> </w:t>
      </w:r>
    </w:p>
    <w:p w:rsidR="00284743" w:rsidRPr="005B2FC1" w:rsidRDefault="0015202A" w:rsidP="005B2FC1">
      <w:pPr>
        <w:tabs>
          <w:tab w:val="left" w:pos="2640"/>
        </w:tabs>
      </w:pPr>
      <w:r w:rsidRPr="005B2FC1">
        <w:t>Сделать правильный выбор, реализовать себя в изменяющихся социально-экономических условиях весьма сложно для современного молодого специалиста. Учебное заведение, окружающие, близкие, знакомые люди не всегда и не во всём смогут помочь выпускнику, всё зависит от его индивидуально - личностных особенностей, интересов, возможностей, мотивации. Задача же профориентации повысить готовность обучающихся выделять приоритеты при планировании своих жизненных и профессиональных перспектив, а также готовность соотносить свои профессиональные цели и возможности.</w:t>
      </w:r>
    </w:p>
    <w:p w:rsidR="00284743" w:rsidRPr="005B2FC1" w:rsidRDefault="0015202A" w:rsidP="005B2FC1">
      <w:pPr>
        <w:tabs>
          <w:tab w:val="left" w:pos="2640"/>
        </w:tabs>
        <w:rPr>
          <w:b/>
        </w:rPr>
      </w:pPr>
      <w:r w:rsidRPr="005B2FC1">
        <w:rPr>
          <w:b/>
        </w:rPr>
        <w:t>На данном занятии мы помогли девятиклассникам проанализировать свои личностные качества и определить тип будущей профессии в соответствии с ними, задуматься о необходимости самосовершенствования и профессионального самоопределения.</w:t>
      </w:r>
    </w:p>
    <w:sectPr w:rsidR="00284743" w:rsidRPr="005B2FC1" w:rsidSect="00020BD0">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548" w:rsidRDefault="003B4548">
      <w:r>
        <w:separator/>
      </w:r>
    </w:p>
  </w:endnote>
  <w:endnote w:type="continuationSeparator" w:id="0">
    <w:p w:rsidR="003B4548" w:rsidRDefault="003B4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743" w:rsidRDefault="00284743" w:rsidP="00020BD0">
    <w:pPr>
      <w:pStyle w:val="af5"/>
      <w:ind w:firstLine="0"/>
    </w:pPr>
  </w:p>
  <w:p w:rsidR="00284743" w:rsidRDefault="0028474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548" w:rsidRDefault="003B4548">
      <w:r>
        <w:separator/>
      </w:r>
    </w:p>
  </w:footnote>
  <w:footnote w:type="continuationSeparator" w:id="0">
    <w:p w:rsidR="003B4548" w:rsidRDefault="003B4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113CB"/>
    <w:multiLevelType w:val="hybridMultilevel"/>
    <w:tmpl w:val="1A4AFD78"/>
    <w:lvl w:ilvl="0" w:tplc="81DC3D64">
      <w:start w:val="1"/>
      <w:numFmt w:val="decimal"/>
      <w:lvlText w:val="%1."/>
      <w:lvlJc w:val="left"/>
      <w:pPr>
        <w:ind w:left="1069" w:hanging="360"/>
      </w:pPr>
      <w:rPr>
        <w:rFonts w:hint="default"/>
      </w:rPr>
    </w:lvl>
    <w:lvl w:ilvl="1" w:tplc="920A2A90">
      <w:start w:val="1"/>
      <w:numFmt w:val="lowerLetter"/>
      <w:lvlText w:val="%2."/>
      <w:lvlJc w:val="left"/>
      <w:pPr>
        <w:ind w:left="1789" w:hanging="360"/>
      </w:pPr>
    </w:lvl>
    <w:lvl w:ilvl="2" w:tplc="3C8C24DC">
      <w:start w:val="1"/>
      <w:numFmt w:val="lowerRoman"/>
      <w:lvlText w:val="%3."/>
      <w:lvlJc w:val="right"/>
      <w:pPr>
        <w:ind w:left="2509" w:hanging="180"/>
      </w:pPr>
    </w:lvl>
    <w:lvl w:ilvl="3" w:tplc="7A44EDB2">
      <w:start w:val="1"/>
      <w:numFmt w:val="decimal"/>
      <w:lvlText w:val="%4."/>
      <w:lvlJc w:val="left"/>
      <w:pPr>
        <w:ind w:left="3229" w:hanging="360"/>
      </w:pPr>
    </w:lvl>
    <w:lvl w:ilvl="4" w:tplc="771A8494">
      <w:start w:val="1"/>
      <w:numFmt w:val="lowerLetter"/>
      <w:lvlText w:val="%5."/>
      <w:lvlJc w:val="left"/>
      <w:pPr>
        <w:ind w:left="3949" w:hanging="360"/>
      </w:pPr>
    </w:lvl>
    <w:lvl w:ilvl="5" w:tplc="8AD23BF6">
      <w:start w:val="1"/>
      <w:numFmt w:val="lowerRoman"/>
      <w:lvlText w:val="%6."/>
      <w:lvlJc w:val="right"/>
      <w:pPr>
        <w:ind w:left="4669" w:hanging="180"/>
      </w:pPr>
    </w:lvl>
    <w:lvl w:ilvl="6" w:tplc="9F5AC140">
      <w:start w:val="1"/>
      <w:numFmt w:val="decimal"/>
      <w:lvlText w:val="%7."/>
      <w:lvlJc w:val="left"/>
      <w:pPr>
        <w:ind w:left="5389" w:hanging="360"/>
      </w:pPr>
    </w:lvl>
    <w:lvl w:ilvl="7" w:tplc="26A27884">
      <w:start w:val="1"/>
      <w:numFmt w:val="lowerLetter"/>
      <w:lvlText w:val="%8."/>
      <w:lvlJc w:val="left"/>
      <w:pPr>
        <w:ind w:left="6109" w:hanging="360"/>
      </w:pPr>
    </w:lvl>
    <w:lvl w:ilvl="8" w:tplc="03FC548E">
      <w:start w:val="1"/>
      <w:numFmt w:val="lowerRoman"/>
      <w:lvlText w:val="%9."/>
      <w:lvlJc w:val="right"/>
      <w:pPr>
        <w:ind w:left="6829" w:hanging="180"/>
      </w:pPr>
    </w:lvl>
  </w:abstractNum>
  <w:abstractNum w:abstractNumId="1">
    <w:nsid w:val="26705AC9"/>
    <w:multiLevelType w:val="hybridMultilevel"/>
    <w:tmpl w:val="25024088"/>
    <w:lvl w:ilvl="0" w:tplc="165E9718">
      <w:start w:val="1"/>
      <w:numFmt w:val="decimal"/>
      <w:lvlText w:val="%1."/>
      <w:lvlJc w:val="left"/>
      <w:pPr>
        <w:ind w:left="1069" w:hanging="360"/>
      </w:pPr>
      <w:rPr>
        <w:rFonts w:hint="default"/>
        <w:b/>
      </w:rPr>
    </w:lvl>
    <w:lvl w:ilvl="1" w:tplc="0BB22684">
      <w:start w:val="1"/>
      <w:numFmt w:val="lowerLetter"/>
      <w:lvlText w:val="%2."/>
      <w:lvlJc w:val="left"/>
      <w:pPr>
        <w:ind w:left="1789" w:hanging="360"/>
      </w:pPr>
    </w:lvl>
    <w:lvl w:ilvl="2" w:tplc="E2D485A2">
      <w:start w:val="1"/>
      <w:numFmt w:val="lowerRoman"/>
      <w:lvlText w:val="%3."/>
      <w:lvlJc w:val="right"/>
      <w:pPr>
        <w:ind w:left="2509" w:hanging="180"/>
      </w:pPr>
    </w:lvl>
    <w:lvl w:ilvl="3" w:tplc="1EEA70C6">
      <w:start w:val="1"/>
      <w:numFmt w:val="decimal"/>
      <w:lvlText w:val="%4."/>
      <w:lvlJc w:val="left"/>
      <w:pPr>
        <w:ind w:left="3229" w:hanging="360"/>
      </w:pPr>
    </w:lvl>
    <w:lvl w:ilvl="4" w:tplc="C0260FDA">
      <w:start w:val="1"/>
      <w:numFmt w:val="lowerLetter"/>
      <w:lvlText w:val="%5."/>
      <w:lvlJc w:val="left"/>
      <w:pPr>
        <w:ind w:left="3949" w:hanging="360"/>
      </w:pPr>
    </w:lvl>
    <w:lvl w:ilvl="5" w:tplc="78ACD218">
      <w:start w:val="1"/>
      <w:numFmt w:val="lowerRoman"/>
      <w:lvlText w:val="%6."/>
      <w:lvlJc w:val="right"/>
      <w:pPr>
        <w:ind w:left="4669" w:hanging="180"/>
      </w:pPr>
    </w:lvl>
    <w:lvl w:ilvl="6" w:tplc="8B804EC4">
      <w:start w:val="1"/>
      <w:numFmt w:val="decimal"/>
      <w:lvlText w:val="%7."/>
      <w:lvlJc w:val="left"/>
      <w:pPr>
        <w:ind w:left="5389" w:hanging="360"/>
      </w:pPr>
    </w:lvl>
    <w:lvl w:ilvl="7" w:tplc="16CAC8A4">
      <w:start w:val="1"/>
      <w:numFmt w:val="lowerLetter"/>
      <w:lvlText w:val="%8."/>
      <w:lvlJc w:val="left"/>
      <w:pPr>
        <w:ind w:left="6109" w:hanging="360"/>
      </w:pPr>
    </w:lvl>
    <w:lvl w:ilvl="8" w:tplc="B9F687EE">
      <w:start w:val="1"/>
      <w:numFmt w:val="lowerRoman"/>
      <w:lvlText w:val="%9."/>
      <w:lvlJc w:val="right"/>
      <w:pPr>
        <w:ind w:left="6829" w:hanging="180"/>
      </w:pPr>
    </w:lvl>
  </w:abstractNum>
  <w:abstractNum w:abstractNumId="2">
    <w:nsid w:val="5B3A0FF8"/>
    <w:multiLevelType w:val="hybridMultilevel"/>
    <w:tmpl w:val="9468CDFE"/>
    <w:lvl w:ilvl="0" w:tplc="3760E0BC">
      <w:start w:val="1"/>
      <w:numFmt w:val="bullet"/>
      <w:lvlText w:val=""/>
      <w:lvlJc w:val="left"/>
      <w:pPr>
        <w:tabs>
          <w:tab w:val="num" w:pos="720"/>
        </w:tabs>
        <w:ind w:left="720" w:hanging="360"/>
      </w:pPr>
      <w:rPr>
        <w:rFonts w:ascii="Symbol" w:hAnsi="Symbol" w:hint="default"/>
        <w:sz w:val="20"/>
      </w:rPr>
    </w:lvl>
    <w:lvl w:ilvl="1" w:tplc="0D0CE416">
      <w:start w:val="1"/>
      <w:numFmt w:val="bullet"/>
      <w:lvlText w:val="o"/>
      <w:lvlJc w:val="left"/>
      <w:pPr>
        <w:tabs>
          <w:tab w:val="num" w:pos="1440"/>
        </w:tabs>
        <w:ind w:left="1440" w:hanging="360"/>
      </w:pPr>
      <w:rPr>
        <w:rFonts w:ascii="Courier New" w:hAnsi="Courier New" w:hint="default"/>
        <w:sz w:val="20"/>
      </w:rPr>
    </w:lvl>
    <w:lvl w:ilvl="2" w:tplc="9E268C86">
      <w:start w:val="1"/>
      <w:numFmt w:val="bullet"/>
      <w:lvlText w:val=""/>
      <w:lvlJc w:val="left"/>
      <w:pPr>
        <w:tabs>
          <w:tab w:val="num" w:pos="2160"/>
        </w:tabs>
        <w:ind w:left="2160" w:hanging="360"/>
      </w:pPr>
      <w:rPr>
        <w:rFonts w:ascii="Wingdings" w:hAnsi="Wingdings" w:hint="default"/>
        <w:sz w:val="20"/>
      </w:rPr>
    </w:lvl>
    <w:lvl w:ilvl="3" w:tplc="71949D30">
      <w:start w:val="1"/>
      <w:numFmt w:val="bullet"/>
      <w:lvlText w:val=""/>
      <w:lvlJc w:val="left"/>
      <w:pPr>
        <w:tabs>
          <w:tab w:val="num" w:pos="2880"/>
        </w:tabs>
        <w:ind w:left="2880" w:hanging="360"/>
      </w:pPr>
      <w:rPr>
        <w:rFonts w:ascii="Wingdings" w:hAnsi="Wingdings" w:hint="default"/>
        <w:sz w:val="20"/>
      </w:rPr>
    </w:lvl>
    <w:lvl w:ilvl="4" w:tplc="C1FA39E0">
      <w:start w:val="1"/>
      <w:numFmt w:val="bullet"/>
      <w:lvlText w:val=""/>
      <w:lvlJc w:val="left"/>
      <w:pPr>
        <w:tabs>
          <w:tab w:val="num" w:pos="3600"/>
        </w:tabs>
        <w:ind w:left="3600" w:hanging="360"/>
      </w:pPr>
      <w:rPr>
        <w:rFonts w:ascii="Wingdings" w:hAnsi="Wingdings" w:hint="default"/>
        <w:sz w:val="20"/>
      </w:rPr>
    </w:lvl>
    <w:lvl w:ilvl="5" w:tplc="D81649D0">
      <w:start w:val="1"/>
      <w:numFmt w:val="bullet"/>
      <w:lvlText w:val=""/>
      <w:lvlJc w:val="left"/>
      <w:pPr>
        <w:tabs>
          <w:tab w:val="num" w:pos="4320"/>
        </w:tabs>
        <w:ind w:left="4320" w:hanging="360"/>
      </w:pPr>
      <w:rPr>
        <w:rFonts w:ascii="Wingdings" w:hAnsi="Wingdings" w:hint="default"/>
        <w:sz w:val="20"/>
      </w:rPr>
    </w:lvl>
    <w:lvl w:ilvl="6" w:tplc="07269F1A">
      <w:start w:val="1"/>
      <w:numFmt w:val="bullet"/>
      <w:lvlText w:val=""/>
      <w:lvlJc w:val="left"/>
      <w:pPr>
        <w:tabs>
          <w:tab w:val="num" w:pos="5040"/>
        </w:tabs>
        <w:ind w:left="5040" w:hanging="360"/>
      </w:pPr>
      <w:rPr>
        <w:rFonts w:ascii="Wingdings" w:hAnsi="Wingdings" w:hint="default"/>
        <w:sz w:val="20"/>
      </w:rPr>
    </w:lvl>
    <w:lvl w:ilvl="7" w:tplc="39141066">
      <w:start w:val="1"/>
      <w:numFmt w:val="bullet"/>
      <w:lvlText w:val=""/>
      <w:lvlJc w:val="left"/>
      <w:pPr>
        <w:tabs>
          <w:tab w:val="num" w:pos="5760"/>
        </w:tabs>
        <w:ind w:left="5760" w:hanging="360"/>
      </w:pPr>
      <w:rPr>
        <w:rFonts w:ascii="Wingdings" w:hAnsi="Wingdings" w:hint="default"/>
        <w:sz w:val="20"/>
      </w:rPr>
    </w:lvl>
    <w:lvl w:ilvl="8" w:tplc="9600271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743"/>
    <w:rsid w:val="00012F63"/>
    <w:rsid w:val="00020BD0"/>
    <w:rsid w:val="00132575"/>
    <w:rsid w:val="0015202A"/>
    <w:rsid w:val="00257EA8"/>
    <w:rsid w:val="00284743"/>
    <w:rsid w:val="003B4548"/>
    <w:rsid w:val="0045065A"/>
    <w:rsid w:val="005B2FC1"/>
    <w:rsid w:val="006903A8"/>
    <w:rsid w:val="00903E66"/>
    <w:rsid w:val="00B80AA1"/>
    <w:rsid w:val="00C46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firstLine="72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link w:val="aa"/>
    <w:uiPriority w:val="35"/>
    <w:semiHidden/>
    <w:unhideWhenUsed/>
    <w:qFormat/>
    <w:pPr>
      <w:spacing w:line="276" w:lineRule="auto"/>
    </w:pPr>
    <w:rPr>
      <w:b/>
      <w:bCs/>
      <w:color w:val="5B9BD5" w:themeColor="accent1"/>
      <w:sz w:val="18"/>
      <w:szCs w:val="18"/>
    </w:rPr>
  </w:style>
  <w:style w:type="character" w:customStyle="1" w:styleId="aa">
    <w:name w:val="Название объекта Знак"/>
    <w:basedOn w:val="a0"/>
    <w:link w:val="a9"/>
    <w:uiPriority w:val="35"/>
    <w:rPr>
      <w:b/>
      <w:bCs/>
      <w:color w:val="5B9BD5" w:themeColor="accent1"/>
      <w:sz w:val="18"/>
      <w:szCs w:val="18"/>
    </w:rPr>
  </w:style>
  <w:style w:type="table" w:styleId="ab">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2">
    <w:name w:val="table of figures"/>
    <w:basedOn w:val="a"/>
    <w:next w:val="a"/>
    <w:uiPriority w:val="99"/>
    <w:unhideWhenUsed/>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basedOn w:val="a0"/>
    <w:link w:val="af3"/>
    <w:uiPriority w:val="99"/>
    <w:rPr>
      <w:rFonts w:ascii="Times New Roman" w:eastAsia="Times New Roman" w:hAnsi="Times New Roman" w:cs="Times New Roman"/>
      <w:sz w:val="24"/>
      <w:szCs w:val="24"/>
      <w:lang w:eastAsia="ar-SA"/>
    </w:rPr>
  </w:style>
  <w:style w:type="paragraph" w:styleId="af5">
    <w:name w:val="footer"/>
    <w:basedOn w:val="a"/>
    <w:link w:val="af6"/>
    <w:uiPriority w:val="99"/>
    <w:unhideWhenUsed/>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4"/>
      <w:szCs w:val="24"/>
      <w:lang w:eastAsia="ar-SA"/>
    </w:rPr>
  </w:style>
  <w:style w:type="paragraph" w:styleId="af7">
    <w:name w:val="List Paragraph"/>
    <w:basedOn w:val="a"/>
    <w:uiPriority w:val="34"/>
    <w:qFormat/>
    <w:pPr>
      <w:ind w:left="720"/>
      <w:contextualSpacing/>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ar-SA"/>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lang w:eastAsia="ar-SA"/>
    </w:rPr>
  </w:style>
  <w:style w:type="paragraph" w:styleId="af8">
    <w:name w:val="TOC Heading"/>
    <w:basedOn w:val="1"/>
    <w:next w:val="a"/>
    <w:uiPriority w:val="39"/>
    <w:unhideWhenUsed/>
    <w:qFormat/>
    <w:pPr>
      <w:spacing w:line="259" w:lineRule="auto"/>
      <w:ind w:firstLine="0"/>
      <w:jc w:val="left"/>
      <w:outlineLvl w:val="9"/>
    </w:pPr>
    <w:rPr>
      <w:lang w:eastAsia="ru-RU"/>
    </w:rPr>
  </w:style>
  <w:style w:type="paragraph" w:styleId="11">
    <w:name w:val="toc 1"/>
    <w:basedOn w:val="a"/>
    <w:next w:val="a"/>
    <w:uiPriority w:val="39"/>
    <w:unhideWhenUsed/>
    <w:pPr>
      <w:spacing w:after="100"/>
    </w:pPr>
  </w:style>
  <w:style w:type="paragraph" w:styleId="23">
    <w:name w:val="toc 2"/>
    <w:basedOn w:val="a"/>
    <w:next w:val="a"/>
    <w:uiPriority w:val="39"/>
    <w:unhideWhenUsed/>
    <w:pPr>
      <w:spacing w:after="100"/>
      <w:ind w:left="240"/>
    </w:pPr>
  </w:style>
  <w:style w:type="character" w:styleId="af9">
    <w:name w:val="Hyperlink"/>
    <w:basedOn w:val="a0"/>
    <w:uiPriority w:val="99"/>
    <w:unhideWhenUsed/>
    <w:rPr>
      <w:color w:val="0563C1" w:themeColor="hyperlink"/>
      <w:u w:val="single"/>
    </w:rPr>
  </w:style>
  <w:style w:type="paragraph" w:styleId="afa">
    <w:name w:val="No Spacing"/>
    <w:link w:val="afb"/>
    <w:uiPriority w:val="1"/>
    <w:qFormat/>
    <w:pPr>
      <w:spacing w:after="0" w:line="240" w:lineRule="auto"/>
    </w:pPr>
    <w:rPr>
      <w:rFonts w:eastAsiaTheme="minorEastAsia"/>
      <w:lang w:eastAsia="ru-RU"/>
    </w:rPr>
  </w:style>
  <w:style w:type="character" w:customStyle="1" w:styleId="afb">
    <w:name w:val="Без интервала Знак"/>
    <w:basedOn w:val="a0"/>
    <w:link w:val="afa"/>
    <w:uiPriority w:val="1"/>
    <w:rPr>
      <w:rFonts w:eastAsiaTheme="minorEastAsia"/>
      <w:lang w:eastAsia="ru-RU"/>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lang w:eastAsia="ar-SA"/>
    </w:rPr>
  </w:style>
  <w:style w:type="paragraph" w:styleId="afc">
    <w:name w:val="Balloon Text"/>
    <w:basedOn w:val="a"/>
    <w:link w:val="afd"/>
    <w:uiPriority w:val="99"/>
    <w:semiHidden/>
    <w:unhideWhenUsed/>
    <w:rPr>
      <w:rFonts w:ascii="Segoe UI" w:hAnsi="Segoe UI" w:cs="Segoe UI"/>
      <w:sz w:val="18"/>
      <w:szCs w:val="18"/>
    </w:rPr>
  </w:style>
  <w:style w:type="character" w:customStyle="1" w:styleId="afd">
    <w:name w:val="Текст выноски Знак"/>
    <w:basedOn w:val="a0"/>
    <w:link w:val="afc"/>
    <w:uiPriority w:val="99"/>
    <w:semiHidden/>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ind w:firstLine="72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link w:val="aa"/>
    <w:uiPriority w:val="35"/>
    <w:semiHidden/>
    <w:unhideWhenUsed/>
    <w:qFormat/>
    <w:pPr>
      <w:spacing w:line="276" w:lineRule="auto"/>
    </w:pPr>
    <w:rPr>
      <w:b/>
      <w:bCs/>
      <w:color w:val="5B9BD5" w:themeColor="accent1"/>
      <w:sz w:val="18"/>
      <w:szCs w:val="18"/>
    </w:rPr>
  </w:style>
  <w:style w:type="character" w:customStyle="1" w:styleId="aa">
    <w:name w:val="Название объекта Знак"/>
    <w:basedOn w:val="a0"/>
    <w:link w:val="a9"/>
    <w:uiPriority w:val="35"/>
    <w:rPr>
      <w:b/>
      <w:bCs/>
      <w:color w:val="5B9BD5" w:themeColor="accent1"/>
      <w:sz w:val="18"/>
      <w:szCs w:val="18"/>
    </w:rPr>
  </w:style>
  <w:style w:type="table" w:styleId="ab">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2">
    <w:name w:val="table of figures"/>
    <w:basedOn w:val="a"/>
    <w:next w:val="a"/>
    <w:uiPriority w:val="99"/>
    <w:unhideWhenUsed/>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basedOn w:val="a0"/>
    <w:link w:val="af3"/>
    <w:uiPriority w:val="99"/>
    <w:rPr>
      <w:rFonts w:ascii="Times New Roman" w:eastAsia="Times New Roman" w:hAnsi="Times New Roman" w:cs="Times New Roman"/>
      <w:sz w:val="24"/>
      <w:szCs w:val="24"/>
      <w:lang w:eastAsia="ar-SA"/>
    </w:rPr>
  </w:style>
  <w:style w:type="paragraph" w:styleId="af5">
    <w:name w:val="footer"/>
    <w:basedOn w:val="a"/>
    <w:link w:val="af6"/>
    <w:uiPriority w:val="99"/>
    <w:unhideWhenUsed/>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4"/>
      <w:szCs w:val="24"/>
      <w:lang w:eastAsia="ar-SA"/>
    </w:rPr>
  </w:style>
  <w:style w:type="paragraph" w:styleId="af7">
    <w:name w:val="List Paragraph"/>
    <w:basedOn w:val="a"/>
    <w:uiPriority w:val="34"/>
    <w:qFormat/>
    <w:pPr>
      <w:ind w:left="720"/>
      <w:contextualSpacing/>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ar-SA"/>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lang w:eastAsia="ar-SA"/>
    </w:rPr>
  </w:style>
  <w:style w:type="paragraph" w:styleId="af8">
    <w:name w:val="TOC Heading"/>
    <w:basedOn w:val="1"/>
    <w:next w:val="a"/>
    <w:uiPriority w:val="39"/>
    <w:unhideWhenUsed/>
    <w:qFormat/>
    <w:pPr>
      <w:spacing w:line="259" w:lineRule="auto"/>
      <w:ind w:firstLine="0"/>
      <w:jc w:val="left"/>
      <w:outlineLvl w:val="9"/>
    </w:pPr>
    <w:rPr>
      <w:lang w:eastAsia="ru-RU"/>
    </w:rPr>
  </w:style>
  <w:style w:type="paragraph" w:styleId="11">
    <w:name w:val="toc 1"/>
    <w:basedOn w:val="a"/>
    <w:next w:val="a"/>
    <w:uiPriority w:val="39"/>
    <w:unhideWhenUsed/>
    <w:pPr>
      <w:spacing w:after="100"/>
    </w:pPr>
  </w:style>
  <w:style w:type="paragraph" w:styleId="23">
    <w:name w:val="toc 2"/>
    <w:basedOn w:val="a"/>
    <w:next w:val="a"/>
    <w:uiPriority w:val="39"/>
    <w:unhideWhenUsed/>
    <w:pPr>
      <w:spacing w:after="100"/>
      <w:ind w:left="240"/>
    </w:pPr>
  </w:style>
  <w:style w:type="character" w:styleId="af9">
    <w:name w:val="Hyperlink"/>
    <w:basedOn w:val="a0"/>
    <w:uiPriority w:val="99"/>
    <w:unhideWhenUsed/>
    <w:rPr>
      <w:color w:val="0563C1" w:themeColor="hyperlink"/>
      <w:u w:val="single"/>
    </w:rPr>
  </w:style>
  <w:style w:type="paragraph" w:styleId="afa">
    <w:name w:val="No Spacing"/>
    <w:link w:val="afb"/>
    <w:uiPriority w:val="1"/>
    <w:qFormat/>
    <w:pPr>
      <w:spacing w:after="0" w:line="240" w:lineRule="auto"/>
    </w:pPr>
    <w:rPr>
      <w:rFonts w:eastAsiaTheme="minorEastAsia"/>
      <w:lang w:eastAsia="ru-RU"/>
    </w:rPr>
  </w:style>
  <w:style w:type="character" w:customStyle="1" w:styleId="afb">
    <w:name w:val="Без интервала Знак"/>
    <w:basedOn w:val="a0"/>
    <w:link w:val="afa"/>
    <w:uiPriority w:val="1"/>
    <w:rPr>
      <w:rFonts w:eastAsiaTheme="minorEastAsia"/>
      <w:lang w:eastAsia="ru-RU"/>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lang w:eastAsia="ar-SA"/>
    </w:rPr>
  </w:style>
  <w:style w:type="paragraph" w:styleId="afc">
    <w:name w:val="Balloon Text"/>
    <w:basedOn w:val="a"/>
    <w:link w:val="afd"/>
    <w:uiPriority w:val="99"/>
    <w:semiHidden/>
    <w:unhideWhenUsed/>
    <w:rPr>
      <w:rFonts w:ascii="Segoe UI" w:hAnsi="Segoe UI" w:cs="Segoe UI"/>
      <w:sz w:val="18"/>
      <w:szCs w:val="18"/>
    </w:rPr>
  </w:style>
  <w:style w:type="character" w:customStyle="1" w:styleId="afd">
    <w:name w:val="Текст выноски Знак"/>
    <w:basedOn w:val="a0"/>
    <w:link w:val="afc"/>
    <w:uiPriority w:val="99"/>
    <w:semiHidden/>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A1BB2-8E17-4C0A-BA50-BCF53E658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1610</Words>
  <Characters>9179</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Введение</vt:lpstr>
      <vt:lpstr>Этапы психолого-профориентационного занятия:</vt:lpstr>
      <vt:lpstr>Ход занятия:</vt:lpstr>
      <vt:lpstr>    Информирование</vt:lpstr>
      <vt:lpstr>    Работа в микрогруппах</vt:lpstr>
      <vt:lpstr>    Игра «Молчание — знак согласия»</vt:lpstr>
      <vt:lpstr>    Тестирование</vt:lpstr>
      <vt:lpstr>    Домашнее задание</vt:lpstr>
      <vt:lpstr>    Итог занятия</vt:lpstr>
      <vt:lpstr>    Заключение </vt:lpstr>
      <vt:lpstr>Литература </vt:lpstr>
    </vt:vector>
  </TitlesOfParts>
  <Company/>
  <LinksUpToDate>false</LinksUpToDate>
  <CharactersWithSpaces>10768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Людмила</cp:lastModifiedBy>
  <cp:revision>9</cp:revision>
  <dcterms:created xsi:type="dcterms:W3CDTF">2025-06-19T02:29:00Z</dcterms:created>
  <dcterms:modified xsi:type="dcterms:W3CDTF">2025-06-20T11:30:00Z</dcterms:modified>
</cp:coreProperties>
</file>