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B0120" w14:textId="4DB205C8" w:rsidR="002A4BAB" w:rsidRDefault="007559E1" w:rsidP="00FF1AEF">
      <w:pPr>
        <w:pStyle w:val="FirstParagraph"/>
        <w:spacing w:before="0" w:after="0" w:line="360" w:lineRule="auto"/>
        <w:ind w:firstLine="709"/>
        <w:jc w:val="right"/>
        <w:rPr>
          <w:rFonts w:cs="Times New Roman"/>
          <w:sz w:val="28"/>
          <w:szCs w:val="28"/>
          <w:lang w:val="ru-RU"/>
        </w:rPr>
      </w:pPr>
      <w:r w:rsidRPr="00D40865">
        <w:rPr>
          <w:rFonts w:cs="Times New Roman"/>
          <w:bCs/>
          <w:sz w:val="28"/>
          <w:szCs w:val="28"/>
          <w:lang w:val="ru-RU"/>
        </w:rPr>
        <w:t>Тебенькова Кристина Анатольевна</w:t>
      </w:r>
      <w:r w:rsidRPr="00D40865">
        <w:rPr>
          <w:rFonts w:cs="Times New Roman"/>
          <w:sz w:val="28"/>
          <w:szCs w:val="28"/>
          <w:lang w:val="ru-RU"/>
        </w:rPr>
        <w:t>, студент</w:t>
      </w:r>
      <w:r w:rsidRPr="00D40865">
        <w:rPr>
          <w:rFonts w:cs="Times New Roman"/>
          <w:sz w:val="28"/>
          <w:szCs w:val="28"/>
          <w:lang w:val="ru-RU"/>
        </w:rPr>
        <w:br/>
        <w:t>Тюменский государственный университет</w:t>
      </w:r>
      <w:r w:rsidRPr="00D40865">
        <w:rPr>
          <w:rFonts w:cs="Times New Roman"/>
          <w:sz w:val="28"/>
          <w:szCs w:val="28"/>
          <w:lang w:val="ru-RU"/>
        </w:rPr>
        <w:br/>
        <w:t>Институт государства и права</w:t>
      </w:r>
    </w:p>
    <w:p w14:paraId="00770C5C" w14:textId="77777777" w:rsidR="002A4BAB" w:rsidRPr="00D40865" w:rsidRDefault="007559E1" w:rsidP="00D40865">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Государственная измена и шпионаж: актуальные проблемы уголовно-правовой квалификации</w:t>
      </w:r>
    </w:p>
    <w:p w14:paraId="7221CFD4"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b/>
          <w:bCs/>
          <w:sz w:val="28"/>
          <w:szCs w:val="28"/>
          <w:lang w:val="ru-RU"/>
        </w:rPr>
        <w:t>Аннотация.</w:t>
      </w:r>
      <w:r w:rsidRPr="00D40865">
        <w:rPr>
          <w:rFonts w:cs="Times New Roman"/>
          <w:sz w:val="28"/>
          <w:szCs w:val="28"/>
          <w:lang w:val="ru-RU"/>
        </w:rPr>
        <w:t xml:space="preserve"> В статье представлен многоаспектный анализ составов преступлений, закрепленных в ст. 275 и 276 УК РФ. Автором изучены особенности объективных и субъективных признаков измены родине и шпионажа, выявлены существенные правовые коллизии в нормативном регулировании данных общественных отношений. Обосновывается необходимость четкого разграничения смежных составов с выделением конкретных критериев их дифференциации для судебной практики. Акцентировано внимание на современных проблемах установления и доказывания субъективной стороны указанных преступлений в условиях цифровой трансформации и возникновения новых форм противоправного поведения. Проведен развернутый анализ законодательных новаций 2022-2024 гг., направленных на ужесточение уголовной ответственности за рассматриваемые деяния. Исследованы научные позиции ведущих теоретиков уголовного права по дискуссионным вопросам квалификации. Автором сформулированы научно аргументированные предложения по совершенствованию уголовного законодательства и правоприменительной деятельности с учетом современных вызовов национальной безопасности России.</w:t>
      </w:r>
    </w:p>
    <w:p w14:paraId="162EF0E1"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b/>
          <w:bCs/>
          <w:sz w:val="28"/>
          <w:szCs w:val="28"/>
          <w:lang w:val="ru-RU"/>
        </w:rPr>
        <w:t>Ключевые слова:</w:t>
      </w:r>
      <w:r w:rsidRPr="00D40865">
        <w:rPr>
          <w:rFonts w:cs="Times New Roman"/>
          <w:sz w:val="28"/>
          <w:szCs w:val="28"/>
          <w:lang w:val="ru-RU"/>
        </w:rPr>
        <w:t xml:space="preserve"> измена родине, шпионаж, национальная безопасность, квалификация преступлений, уголовное право.</w:t>
      </w:r>
    </w:p>
    <w:p w14:paraId="21DBA64E" w14:textId="77777777" w:rsidR="002A4BAB" w:rsidRPr="00D40865" w:rsidRDefault="007559E1" w:rsidP="00FF1AEF">
      <w:pPr>
        <w:pStyle w:val="a0"/>
        <w:spacing w:before="0" w:after="0" w:line="360" w:lineRule="auto"/>
        <w:ind w:firstLine="709"/>
        <w:jc w:val="right"/>
        <w:rPr>
          <w:rFonts w:cs="Times New Roman"/>
          <w:sz w:val="28"/>
          <w:szCs w:val="28"/>
        </w:rPr>
      </w:pPr>
      <w:r w:rsidRPr="00D40865">
        <w:rPr>
          <w:rFonts w:cs="Times New Roman"/>
          <w:bCs/>
          <w:sz w:val="28"/>
          <w:szCs w:val="28"/>
        </w:rPr>
        <w:t>Tebenkova Kristina Anatolyevna</w:t>
      </w:r>
      <w:r w:rsidRPr="00D40865">
        <w:rPr>
          <w:rFonts w:cs="Times New Roman"/>
          <w:sz w:val="28"/>
          <w:szCs w:val="28"/>
        </w:rPr>
        <w:t>, student</w:t>
      </w:r>
      <w:r w:rsidRPr="00D40865">
        <w:rPr>
          <w:rFonts w:cs="Times New Roman"/>
          <w:sz w:val="28"/>
          <w:szCs w:val="28"/>
        </w:rPr>
        <w:br/>
        <w:t>Tyumen State University</w:t>
      </w:r>
      <w:r w:rsidRPr="00D40865">
        <w:rPr>
          <w:rFonts w:cs="Times New Roman"/>
          <w:sz w:val="28"/>
          <w:szCs w:val="28"/>
        </w:rPr>
        <w:br/>
        <w:t>Institute of State and Law</w:t>
      </w:r>
    </w:p>
    <w:p w14:paraId="0287CB84" w14:textId="77777777" w:rsidR="002A4BAB" w:rsidRPr="00D40865" w:rsidRDefault="007559E1" w:rsidP="00D40865">
      <w:pPr>
        <w:pStyle w:val="a0"/>
        <w:spacing w:before="0" w:after="0" w:line="360" w:lineRule="auto"/>
        <w:ind w:firstLine="709"/>
        <w:jc w:val="center"/>
        <w:rPr>
          <w:rFonts w:cs="Times New Roman"/>
          <w:sz w:val="28"/>
          <w:szCs w:val="28"/>
        </w:rPr>
      </w:pPr>
      <w:r w:rsidRPr="00D40865">
        <w:rPr>
          <w:rFonts w:cs="Times New Roman"/>
          <w:b/>
          <w:bCs/>
          <w:sz w:val="28"/>
          <w:szCs w:val="28"/>
        </w:rPr>
        <w:t>High treason and espionage: current problems of criminal-legal qualification</w:t>
      </w:r>
    </w:p>
    <w:p w14:paraId="2E973DE1" w14:textId="77777777" w:rsidR="002A4BAB" w:rsidRPr="00D40865" w:rsidRDefault="007559E1" w:rsidP="00FF1AEF">
      <w:pPr>
        <w:pStyle w:val="a0"/>
        <w:spacing w:before="0" w:after="0" w:line="360" w:lineRule="auto"/>
        <w:ind w:firstLine="709"/>
        <w:jc w:val="both"/>
        <w:rPr>
          <w:rFonts w:cs="Times New Roman"/>
          <w:sz w:val="28"/>
          <w:szCs w:val="28"/>
        </w:rPr>
      </w:pPr>
      <w:r w:rsidRPr="00D40865">
        <w:rPr>
          <w:rFonts w:cs="Times New Roman"/>
          <w:b/>
          <w:bCs/>
          <w:sz w:val="28"/>
          <w:szCs w:val="28"/>
        </w:rPr>
        <w:lastRenderedPageBreak/>
        <w:t>Abstract.</w:t>
      </w:r>
      <w:r w:rsidRPr="00D40865">
        <w:rPr>
          <w:rFonts w:cs="Times New Roman"/>
          <w:sz w:val="28"/>
          <w:szCs w:val="28"/>
        </w:rPr>
        <w:t xml:space="preserve"> The article presents a multifaceted analysis of the elements of crimes enshrined in Articles 275 and 276 of the Criminal Code of the Russian Federation. The author examines the features of objective and subjective characteristics of high treason and espionage, revealing significant legal conflicts in the regulatory framework governing these social relations. The necessity of clear distinction between related compositions with specific criteria for their differentiation in judicial practice is substantiated. Special attention is focused on contemporary challenges in establishing and proving the subjective aspect of these crimes in the context of digital transformation and emergence of new forms of illegal behavior. The article provides a comprehensive analysis of legislative innovations of 2022-2024 aimed at strengthening criminal liability for the considered acts. Scientific positions of leading criminal law theorists on controversial qualification issues are examined. The author formulates scientifically substantiated proposals for improving criminal legislation and law enforcement practices, taking into account modern challenges to Russia's national security.</w:t>
      </w:r>
    </w:p>
    <w:p w14:paraId="7B2D99AF" w14:textId="77777777" w:rsidR="002A4BAB" w:rsidRPr="00D40865" w:rsidRDefault="007559E1" w:rsidP="00FF1AEF">
      <w:pPr>
        <w:pStyle w:val="a0"/>
        <w:spacing w:before="0" w:after="0" w:line="360" w:lineRule="auto"/>
        <w:ind w:firstLine="709"/>
        <w:jc w:val="both"/>
        <w:rPr>
          <w:rFonts w:cs="Times New Roman"/>
          <w:sz w:val="28"/>
          <w:szCs w:val="28"/>
        </w:rPr>
      </w:pPr>
      <w:r w:rsidRPr="00D40865">
        <w:rPr>
          <w:rFonts w:cs="Times New Roman"/>
          <w:b/>
          <w:bCs/>
          <w:sz w:val="28"/>
          <w:szCs w:val="28"/>
        </w:rPr>
        <w:t>Keywords:</w:t>
      </w:r>
      <w:r w:rsidRPr="00D40865">
        <w:rPr>
          <w:rFonts w:cs="Times New Roman"/>
          <w:sz w:val="28"/>
          <w:szCs w:val="28"/>
        </w:rPr>
        <w:t xml:space="preserve"> high treason, espionage, national security, crime qualification, criminal law.</w:t>
      </w:r>
    </w:p>
    <w:p w14:paraId="1F6DC138" w14:textId="77777777" w:rsidR="002A4BAB" w:rsidRPr="00D40865" w:rsidRDefault="007559E1" w:rsidP="00D40865">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Введение</w:t>
      </w:r>
    </w:p>
    <w:p w14:paraId="509A3186" w14:textId="1937D27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Криминализация деяний, посягающих на основы конституционного строя и безопасность государства, занимает особое место в системе уголовно-правовой защиты фундаментальных государственных интересов. Государственная измена и шпионаж, регламентированные ст. 275 и 276 УК РФ соответственно, представляют собой преступления повышенной общественной опасности, посягающие на суверенитет, территориальную целостность и безопасность Российской Федерации</w:t>
      </w:r>
      <w:r w:rsidR="005F08D4">
        <w:rPr>
          <w:rFonts w:cs="Times New Roman"/>
          <w:sz w:val="28"/>
          <w:szCs w:val="28"/>
          <w:lang w:val="ru-RU"/>
        </w:rPr>
        <w:t xml:space="preserve"> </w:t>
      </w:r>
      <w:r w:rsidR="005F08D4" w:rsidRPr="005F08D4">
        <w:rPr>
          <w:rFonts w:cs="Times New Roman"/>
          <w:sz w:val="28"/>
          <w:szCs w:val="28"/>
          <w:lang w:val="ru-RU"/>
        </w:rPr>
        <w:t>[1].</w:t>
      </w:r>
    </w:p>
    <w:p w14:paraId="466AB3A7"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Стремительное развитие информационно-коммуникационных технологий, расширение форм трансграничного сотрудничества, появление новых методов вербовки и агентурной работы на фоне меняющейся геополитической обстановки ставят перед правоприменителем сложные задачи по квалификации данных </w:t>
      </w:r>
      <w:r w:rsidRPr="00D40865">
        <w:rPr>
          <w:rFonts w:cs="Times New Roman"/>
          <w:sz w:val="28"/>
          <w:szCs w:val="28"/>
          <w:lang w:val="ru-RU"/>
        </w:rPr>
        <w:lastRenderedPageBreak/>
        <w:t>составов преступлений. Законодатель, реагируя на эти вызовы, в период 2022-2024 гг. внес существенные изменения в уголовно-правовую регламентацию ответственности за государственную измену и шпионаж, что требует научного осмысления и доктринального толкования.</w:t>
      </w:r>
    </w:p>
    <w:p w14:paraId="067ADC92"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Цифровизация коммуникаций создала принципиально новые способы совершения рассматриваемых преступлений, включая использование анонимных мессенджеров, облачных хранилищ данных, технологий "глубокой подделки" (</w:t>
      </w:r>
      <w:r w:rsidRPr="00D40865">
        <w:rPr>
          <w:rFonts w:cs="Times New Roman"/>
          <w:sz w:val="28"/>
          <w:szCs w:val="28"/>
        </w:rPr>
        <w:t>deepfake</w:t>
      </w:r>
      <w:r w:rsidRPr="00D40865">
        <w:rPr>
          <w:rFonts w:cs="Times New Roman"/>
          <w:sz w:val="28"/>
          <w:szCs w:val="28"/>
          <w:lang w:val="ru-RU"/>
        </w:rPr>
        <w:t>) для фальсификации личности и создания провокационного контента. Эти факторы существенно усложняют процесс доказывания субъективной стороны государственной измены и шпионажа, что актуализирует необходимость совершенствования теоретических подходов к их квалификации.</w:t>
      </w:r>
    </w:p>
    <w:p w14:paraId="326C8AC8" w14:textId="77777777" w:rsidR="002A4BAB" w:rsidRPr="00D40865" w:rsidRDefault="007559E1" w:rsidP="00827D8C">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Материалы и методы исследований</w:t>
      </w:r>
    </w:p>
    <w:p w14:paraId="0914E7E9"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Теоретико-методологическую основу исследования составляют фундаментальные труды отечественных ученых-правоведов, разрабатывающих проблематику преступлений против государственной власти и национальной безопасности. Особое значение имеют работы А.И. Рарога, Б.В. Здравомыслова, С.В. Дьякова, Н.И. Ветрова, В.С. Комиссарова, А.В. Наумова, затрагивающие различные аспекты квалификации государственной измены и шпионажа.</w:t>
      </w:r>
    </w:p>
    <w:p w14:paraId="0211938A"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 качестве методологического инструментария использован комплекс общенаучных и частнонаучных методов: системно-структурный анализ для выявления места рассматриваемых составов в системе преступлений против основ конституционного строя; формально-юридический метод для толкования нормативных положений ст. 275 и 276 УК РФ; сравнительно-правовой метод для сопоставления различных законодательных подходов к регламентации ответственности за посягательства на национальную безопасность.</w:t>
      </w:r>
    </w:p>
    <w:p w14:paraId="7755C9F4"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Эмпирическую базу исследования формируют материалы судебной практики Верховного Суда РФ и нижестоящих судов за период 2020-2024 гг., постановления Пленума Верховного Суда РФ, аналитические обзоры и </w:t>
      </w:r>
      <w:r w:rsidRPr="00D40865">
        <w:rPr>
          <w:rFonts w:cs="Times New Roman"/>
          <w:sz w:val="28"/>
          <w:szCs w:val="28"/>
          <w:lang w:val="ru-RU"/>
        </w:rPr>
        <w:lastRenderedPageBreak/>
        <w:t>статистические данные правоохранительных органов по делам о государственной измене и шпионаже.</w:t>
      </w:r>
    </w:p>
    <w:p w14:paraId="31319805" w14:textId="77777777"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Результаты и обсуждения</w:t>
      </w:r>
    </w:p>
    <w:p w14:paraId="56A1C478" w14:textId="2F6AC0EA" w:rsidR="002A4BAB" w:rsidRPr="00D40865" w:rsidRDefault="007559E1" w:rsidP="00DB137B">
      <w:pPr>
        <w:pStyle w:val="a0"/>
        <w:spacing w:before="0" w:after="0" w:line="360" w:lineRule="auto"/>
        <w:jc w:val="center"/>
        <w:rPr>
          <w:rFonts w:cs="Times New Roman"/>
          <w:sz w:val="28"/>
          <w:szCs w:val="28"/>
          <w:lang w:val="ru-RU"/>
        </w:rPr>
      </w:pPr>
      <w:r w:rsidRPr="00D40865">
        <w:rPr>
          <w:rFonts w:cs="Times New Roman"/>
          <w:b/>
          <w:bCs/>
          <w:sz w:val="28"/>
          <w:szCs w:val="28"/>
          <w:lang w:val="ru-RU"/>
        </w:rPr>
        <w:t>Теоретико-правовая характеристика объекта государственной измены и шпионажа</w:t>
      </w:r>
    </w:p>
    <w:p w14:paraId="16FB0278" w14:textId="1A9A871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Определение объекта государственной измены и шпионажа выступает концептуальной основой для правильной уголовно-правовой квалификации данных деяний. Научный анализ родового объекта преступлений, предусмотренных главой 29 УК РФ, позволяет охарактеризовать его как комплекс общественных отношений, гарантирующих защиту фундаментальных конституционных принципов и стратегичес</w:t>
      </w:r>
      <w:r w:rsidR="005F63D3">
        <w:rPr>
          <w:rFonts w:cs="Times New Roman"/>
          <w:sz w:val="28"/>
          <w:szCs w:val="28"/>
          <w:lang w:val="ru-RU"/>
        </w:rPr>
        <w:t>кой защищенности государства</w:t>
      </w:r>
      <w:r w:rsidRPr="00D40865">
        <w:rPr>
          <w:rFonts w:cs="Times New Roman"/>
          <w:sz w:val="28"/>
          <w:szCs w:val="28"/>
          <w:lang w:val="ru-RU"/>
        </w:rPr>
        <w:t>.</w:t>
      </w:r>
    </w:p>
    <w:p w14:paraId="369A6506" w14:textId="508521F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 научной литературе прослеживаются различные подходы к определению видового и непосредственного объектов рассматриваемых преступлений. Профессор А.И. Рарог обоснованно отмечает, что непосредственным объектом государственной измены выступает внешняя безопасность Российской Фе</w:t>
      </w:r>
      <w:r w:rsidR="005F63D3">
        <w:rPr>
          <w:rFonts w:cs="Times New Roman"/>
          <w:sz w:val="28"/>
          <w:szCs w:val="28"/>
          <w:lang w:val="ru-RU"/>
        </w:rPr>
        <w:t>дерации</w:t>
      </w:r>
      <w:r w:rsidR="005F08D4">
        <w:rPr>
          <w:rFonts w:cs="Times New Roman"/>
          <w:sz w:val="28"/>
          <w:szCs w:val="28"/>
          <w:lang w:val="ru-RU"/>
        </w:rPr>
        <w:t xml:space="preserve"> </w:t>
      </w:r>
      <w:r w:rsidR="005F08D4" w:rsidRPr="005F08D4">
        <w:rPr>
          <w:rFonts w:cs="Times New Roman"/>
          <w:sz w:val="28"/>
          <w:szCs w:val="28"/>
          <w:lang w:val="ru-RU"/>
        </w:rPr>
        <w:t>[2].</w:t>
      </w:r>
      <w:r w:rsidRPr="00D40865">
        <w:rPr>
          <w:rFonts w:cs="Times New Roman"/>
          <w:sz w:val="28"/>
          <w:szCs w:val="28"/>
          <w:lang w:val="ru-RU"/>
        </w:rPr>
        <w:t xml:space="preserve"> Данная позиция находит подтверждение в материалах судебной практики, где при квалификации деяний по ст. 275 УК РФ суды неизменно акцентируют внимание на причинении вреда именно внешней безопасности государства.</w:t>
      </w:r>
    </w:p>
    <w:p w14:paraId="5C227031" w14:textId="2FE6E442"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Развивая данный подход, профессор Н.И. Ветров предлагает расширенное понимание объекта, включая в него суверенитет и территориальную не</w:t>
      </w:r>
      <w:r w:rsidR="005F63D3">
        <w:rPr>
          <w:rFonts w:cs="Times New Roman"/>
          <w:sz w:val="28"/>
          <w:szCs w:val="28"/>
          <w:lang w:val="ru-RU"/>
        </w:rPr>
        <w:t>прикосновенность государства</w:t>
      </w:r>
      <w:r w:rsidR="005F08D4">
        <w:rPr>
          <w:rFonts w:cs="Times New Roman"/>
          <w:sz w:val="28"/>
          <w:szCs w:val="28"/>
          <w:lang w:val="ru-RU"/>
        </w:rPr>
        <w:t xml:space="preserve"> </w:t>
      </w:r>
      <w:r w:rsidR="005F08D4" w:rsidRPr="005F08D4">
        <w:rPr>
          <w:rFonts w:cs="Times New Roman"/>
          <w:sz w:val="28"/>
          <w:szCs w:val="28"/>
          <w:lang w:val="ru-RU"/>
        </w:rPr>
        <w:t xml:space="preserve">[3]. </w:t>
      </w:r>
      <w:r w:rsidRPr="00D40865">
        <w:rPr>
          <w:rFonts w:cs="Times New Roman"/>
          <w:sz w:val="28"/>
          <w:szCs w:val="28"/>
          <w:lang w:val="ru-RU"/>
        </w:rPr>
        <w:t>Такая интерпретация соответствует современным геополитическим вызовам, когда посягательства на государственную безопасность зачастую направлены на подрыв территориальной целостности страны.</w:t>
      </w:r>
    </w:p>
    <w:p w14:paraId="3036FFEA" w14:textId="5491A093"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Оригинальную концепцию предлагает С.В. Дьяков, рассматривающий объект государственной измены через призму конституционной обязанности граждан соблюдать государственную лояльност</w:t>
      </w:r>
      <w:r w:rsidR="005F63D3">
        <w:rPr>
          <w:rFonts w:cs="Times New Roman"/>
          <w:sz w:val="28"/>
          <w:szCs w:val="28"/>
          <w:lang w:val="ru-RU"/>
        </w:rPr>
        <w:t>ь</w:t>
      </w:r>
      <w:r w:rsidR="007537CF">
        <w:rPr>
          <w:rFonts w:cs="Times New Roman"/>
          <w:sz w:val="28"/>
          <w:szCs w:val="28"/>
          <w:lang w:val="ru-RU"/>
        </w:rPr>
        <w:t xml:space="preserve"> [4].</w:t>
      </w:r>
      <w:r w:rsidRPr="00D40865">
        <w:rPr>
          <w:rFonts w:cs="Times New Roman"/>
          <w:sz w:val="28"/>
          <w:szCs w:val="28"/>
          <w:lang w:val="ru-RU"/>
        </w:rPr>
        <w:t xml:space="preserve"> Эта теоретическая </w:t>
      </w:r>
      <w:r w:rsidRPr="00D40865">
        <w:rPr>
          <w:rFonts w:cs="Times New Roman"/>
          <w:sz w:val="28"/>
          <w:szCs w:val="28"/>
          <w:lang w:val="ru-RU"/>
        </w:rPr>
        <w:lastRenderedPageBreak/>
        <w:t>конструкция подчеркивает особый характер взаимоотношений между гражданином и государством, основанных на взаимных правах и обязанностях.</w:t>
      </w:r>
    </w:p>
    <w:p w14:paraId="49046E01" w14:textId="7B46A37E"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Проведенный анализ судебной практики по делам о государственной измене за 2020-2024 гг. демонстрирует, что суды при квалификации деяний по ст. 275 УК РФ акцентируют внимание на комплексном характере объекта преступления. Так, в приговоре по делу Фомичева К.Р. (2023 г.) Московский городской суд указал, что "действия подсудимого были направлены на подрыв внешней безопасности, суверенитета и обороноспособности Российской Федерации, что составляет компле</w:t>
      </w:r>
      <w:r w:rsidR="005F63D3">
        <w:rPr>
          <w:rFonts w:cs="Times New Roman"/>
          <w:sz w:val="28"/>
          <w:szCs w:val="28"/>
          <w:lang w:val="ru-RU"/>
        </w:rPr>
        <w:t>ксный объект посягательства"</w:t>
      </w:r>
      <w:r w:rsidRPr="00D40865">
        <w:rPr>
          <w:rFonts w:cs="Times New Roman"/>
          <w:sz w:val="28"/>
          <w:szCs w:val="28"/>
          <w:lang w:val="ru-RU"/>
        </w:rPr>
        <w:t>.</w:t>
      </w:r>
    </w:p>
    <w:p w14:paraId="49FCE678"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Учитывая современные тенденции развития уголовно-правовой доктрины и правоприменительной практики, представляется обоснованным определение непосредственного объекта государственной измены и шпионажа как совокупности общественных отношений, гарантирующих защищенность от внешнего вмешательства, обеспечивающих неприкосновенность территориальных границ, сохранность конституционного устройства, стратегический оборонный потенциал и ключевые государственные приоритеты Российской Федерации.</w:t>
      </w:r>
    </w:p>
    <w:p w14:paraId="062255BA" w14:textId="75444022"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Проблемные аспекты объективной стороны государственной измены</w:t>
      </w:r>
    </w:p>
    <w:p w14:paraId="6E3F62A9"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Диспозиция ст. 275 УК РФ закрепляет три альтернативные формы объективной стороны государственной измены: шпионаж; выдача государственной тайны; иное содействие иностранному государству, международной либо иностранной организации или их представителям в осуществлении недружественной деятельности, наносящей ущерб стратегической защищенности Российской Федерации.</w:t>
      </w:r>
    </w:p>
    <w:p w14:paraId="10B8E00A" w14:textId="06D069DD"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Шпионаж как форма государственной измены имеет сходство с самостоятельным составом преступления, предусмотренным ст. 276 УК РФ, однако обладает существенной спецификой. Ключевое различие заключается в субъекте преступления: государственную измену в форме шпионажа может совершить исключительно гражданин Российской Федерации, тогда как </w:t>
      </w:r>
      <w:r w:rsidRPr="00D40865">
        <w:rPr>
          <w:rFonts w:cs="Times New Roman"/>
          <w:sz w:val="28"/>
          <w:szCs w:val="28"/>
          <w:lang w:val="ru-RU"/>
        </w:rPr>
        <w:lastRenderedPageBreak/>
        <w:t>субъектом "самостоятельного" шпионажа выступает иностранный гражда</w:t>
      </w:r>
      <w:r w:rsidR="005F63D3">
        <w:rPr>
          <w:rFonts w:cs="Times New Roman"/>
          <w:sz w:val="28"/>
          <w:szCs w:val="28"/>
          <w:lang w:val="ru-RU"/>
        </w:rPr>
        <w:t>нин или лицо без гражданства</w:t>
      </w:r>
      <w:r w:rsidR="007537CF">
        <w:rPr>
          <w:rFonts w:cs="Times New Roman"/>
          <w:sz w:val="28"/>
          <w:szCs w:val="28"/>
          <w:lang w:val="ru-RU"/>
        </w:rPr>
        <w:t xml:space="preserve"> </w:t>
      </w:r>
      <w:r w:rsidR="007537CF" w:rsidRPr="007537CF">
        <w:rPr>
          <w:rFonts w:cs="Times New Roman"/>
          <w:sz w:val="28"/>
          <w:szCs w:val="28"/>
          <w:lang w:val="ru-RU"/>
        </w:rPr>
        <w:t>[5].</w:t>
      </w:r>
    </w:p>
    <w:p w14:paraId="1F778FD0" w14:textId="4D0A90C1"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Анализ материалов судебной практики позволяет выявить определенные сложности при квалификации шпионажа как формы государственной измены. В частности, дело Комарова П.А. (2022 г.) демонстрирует проблему разграничения предмета преступления: подсудимый передавал сведения, которые, по его мнению, не составляли государственную тайну, однако экспертиза установила, что совокупность переданной информации позволяла получить сведения, состав</w:t>
      </w:r>
      <w:r w:rsidR="005F63D3">
        <w:rPr>
          <w:rFonts w:cs="Times New Roman"/>
          <w:sz w:val="28"/>
          <w:szCs w:val="28"/>
          <w:lang w:val="ru-RU"/>
        </w:rPr>
        <w:t>ляющие государственную тайну</w:t>
      </w:r>
      <w:r w:rsidRPr="00D40865">
        <w:rPr>
          <w:rFonts w:cs="Times New Roman"/>
          <w:sz w:val="28"/>
          <w:szCs w:val="28"/>
          <w:lang w:val="ru-RU"/>
        </w:rPr>
        <w:t>. Данный пример иллюстрирует так называемый "мозаичный принцип" формирования секретной информации, когда отдельные несекретные сведения в совокупности образуют государственную тайну.</w:t>
      </w:r>
    </w:p>
    <w:p w14:paraId="48D4F089"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Выдача государственной тайны предполагает передачу сведений, составляющих государственную тайну, лицом, которому эти сведения были доверены или стали известны по службе, работе, учебе или в иных случаях, предусмотренных законодательством РФ. Существенной проблемой правоприменения выступает вопрос о квалификации действий лица, которое передает сведения, не составляющие государственную тайну, но имеющие значение для обеспечения национальной безопасности.</w:t>
      </w:r>
    </w:p>
    <w:p w14:paraId="2C1C86AC" w14:textId="1B8230FA"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Так, в деле Александрова М.С. (2023 г.) подсудимый передал представителю иностранной организации информацию о перемещениях военной техники, которая не была официально отнесена к государственной тайне, но имела важное значение для обороноспособности страны в условиях проведения </w:t>
      </w:r>
      <w:r w:rsidR="005F63D3">
        <w:rPr>
          <w:rFonts w:cs="Times New Roman"/>
          <w:sz w:val="28"/>
          <w:szCs w:val="28"/>
          <w:lang w:val="ru-RU"/>
        </w:rPr>
        <w:t>специальной военной операции</w:t>
      </w:r>
      <w:r w:rsidRPr="00D40865">
        <w:rPr>
          <w:rFonts w:cs="Times New Roman"/>
          <w:sz w:val="28"/>
          <w:szCs w:val="28"/>
          <w:lang w:val="ru-RU"/>
        </w:rPr>
        <w:t>. Верховный Суд РФ в своем определении от 17.03.2023 подтвердил правильность квалификации данных действий как государственной измены, что свидетельствует о тенденции к расширительному толкованию предмета преступления.</w:t>
      </w:r>
    </w:p>
    <w:p w14:paraId="5D673239" w14:textId="79A36B02"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lastRenderedPageBreak/>
        <w:t>Наибольшую сложность для правоприменения представляет квалификация "иного содействия" иностранному государству, международной либо иностранной организации или их представителям. Эта оценочная категория была частично конкретизирована в постановлении Пленума Верховного Суда РФ от 09.06.2004 № 5, где к ней отнесены финансирование враждебной деятельности, предоставление убежища агентам иностранных спецслужб, снабжение их документами, транспортными средствами, содействие в вербовке агент</w:t>
      </w:r>
      <w:r w:rsidR="005F63D3">
        <w:rPr>
          <w:rFonts w:cs="Times New Roman"/>
          <w:sz w:val="28"/>
          <w:szCs w:val="28"/>
          <w:lang w:val="ru-RU"/>
        </w:rPr>
        <w:t>уры и иные подобные действия</w:t>
      </w:r>
      <w:r w:rsidR="007537CF">
        <w:rPr>
          <w:rFonts w:cs="Times New Roman"/>
          <w:sz w:val="28"/>
          <w:szCs w:val="28"/>
          <w:lang w:val="ru-RU"/>
        </w:rPr>
        <w:t xml:space="preserve"> </w:t>
      </w:r>
      <w:r w:rsidR="007537CF" w:rsidRPr="007537CF">
        <w:rPr>
          <w:rFonts w:cs="Times New Roman"/>
          <w:sz w:val="28"/>
          <w:szCs w:val="28"/>
          <w:lang w:val="ru-RU"/>
        </w:rPr>
        <w:t>[6]</w:t>
      </w:r>
      <w:r w:rsidR="007537CF">
        <w:rPr>
          <w:rFonts w:cs="Times New Roman"/>
          <w:sz w:val="28"/>
          <w:szCs w:val="28"/>
          <w:lang w:val="ru-RU"/>
        </w:rPr>
        <w:t xml:space="preserve"> </w:t>
      </w:r>
      <w:r w:rsidRPr="00D40865">
        <w:rPr>
          <w:rFonts w:cs="Times New Roman"/>
          <w:sz w:val="28"/>
          <w:szCs w:val="28"/>
          <w:lang w:val="ru-RU"/>
        </w:rPr>
        <w:t>.</w:t>
      </w:r>
    </w:p>
    <w:p w14:paraId="5AFEA852" w14:textId="32B9AFE5"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Однако судебная практика последних лет демонстрирует расширение границ данного понятия. Резонансным стало дело Резника С.В. (2019 г.), где Московский городской суд квалифицировал как "иное содействие" предоставление юридических консультаций американской неправительственной организации по вопросам р</w:t>
      </w:r>
      <w:r w:rsidR="005F63D3">
        <w:rPr>
          <w:rFonts w:cs="Times New Roman"/>
          <w:sz w:val="28"/>
          <w:szCs w:val="28"/>
          <w:lang w:val="ru-RU"/>
        </w:rPr>
        <w:t>оссийского законодательства</w:t>
      </w:r>
      <w:r w:rsidRPr="00D40865">
        <w:rPr>
          <w:rFonts w:cs="Times New Roman"/>
          <w:sz w:val="28"/>
          <w:szCs w:val="28"/>
          <w:lang w:val="ru-RU"/>
        </w:rPr>
        <w:t>. Критики данного решения отмечали размытость критериев для отнесения консультационных услуг к враждебной деятельности.</w:t>
      </w:r>
    </w:p>
    <w:p w14:paraId="768C360A" w14:textId="20C37C6B"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Еще более показательным является дело Сафронова И.И. (2021 г.), где к "иному содействию" была отнесена передача информации о военно-техническом сотрудничестве России с зарубежными странами, полученной журналистом в ходе пр</w:t>
      </w:r>
      <w:r w:rsidR="005F63D3">
        <w:rPr>
          <w:rFonts w:cs="Times New Roman"/>
          <w:sz w:val="28"/>
          <w:szCs w:val="28"/>
          <w:lang w:val="ru-RU"/>
        </w:rPr>
        <w:t>офессиональной деятельности</w:t>
      </w:r>
      <w:r w:rsidRPr="00D40865">
        <w:rPr>
          <w:rFonts w:cs="Times New Roman"/>
          <w:sz w:val="28"/>
          <w:szCs w:val="28"/>
          <w:lang w:val="ru-RU"/>
        </w:rPr>
        <w:t>. Данное дело вызвало дискуссию о границах журналистской деятельности и критериях ее отграничения от шпионажа.</w:t>
      </w:r>
    </w:p>
    <w:p w14:paraId="7C021F2E"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Анализ приведенных примеров свидетельствует о необходимости законодательной конкретизации понятия "иное содействие" путем установления исчерпывающего перечня действий, подпадающих под данную категорию, либо формулирования четких критериев для их определения.</w:t>
      </w:r>
    </w:p>
    <w:p w14:paraId="78732A28" w14:textId="37AF2B4B"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Субъект преступления: проблема двойного гражданства и гражданства, приобретенного после совершения преступления</w:t>
      </w:r>
    </w:p>
    <w:p w14:paraId="752549DF" w14:textId="4594994F"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Субъектом государственной измены может быть исключительно гражданин Российской Федерации, достигший 16-летнего возраста. Данное ограничение </w:t>
      </w:r>
      <w:r w:rsidRPr="00D40865">
        <w:rPr>
          <w:rFonts w:cs="Times New Roman"/>
          <w:sz w:val="28"/>
          <w:szCs w:val="28"/>
          <w:lang w:val="ru-RU"/>
        </w:rPr>
        <w:lastRenderedPageBreak/>
        <w:t>обусловлено особым характером правоотношений между гражданином и государством, основанных на конституционных правах и обязанностях, включая обязанность защищать Отечес</w:t>
      </w:r>
      <w:r w:rsidR="005F63D3">
        <w:rPr>
          <w:rFonts w:cs="Times New Roman"/>
          <w:sz w:val="28"/>
          <w:szCs w:val="28"/>
          <w:lang w:val="ru-RU"/>
        </w:rPr>
        <w:t>тво (ст. 59 Конституции РФ)</w:t>
      </w:r>
      <w:r w:rsidR="007537CF" w:rsidRPr="007537CF">
        <w:rPr>
          <w:lang w:val="ru-RU"/>
        </w:rPr>
        <w:t xml:space="preserve"> </w:t>
      </w:r>
      <w:r w:rsidR="007537CF" w:rsidRPr="007537CF">
        <w:rPr>
          <w:rFonts w:cs="Times New Roman"/>
          <w:sz w:val="28"/>
          <w:szCs w:val="28"/>
          <w:lang w:val="ru-RU"/>
        </w:rPr>
        <w:t>[7]</w:t>
      </w:r>
      <w:r w:rsidR="007537CF">
        <w:rPr>
          <w:rFonts w:cs="Times New Roman"/>
          <w:sz w:val="28"/>
          <w:szCs w:val="28"/>
          <w:lang w:val="ru-RU"/>
        </w:rPr>
        <w:t xml:space="preserve"> </w:t>
      </w:r>
      <w:r w:rsidRPr="00D40865">
        <w:rPr>
          <w:rFonts w:cs="Times New Roman"/>
          <w:sz w:val="28"/>
          <w:szCs w:val="28"/>
          <w:lang w:val="ru-RU"/>
        </w:rPr>
        <w:t>.</w:t>
      </w:r>
    </w:p>
    <w:p w14:paraId="328FEE44" w14:textId="6050B94E"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 современных условиях глобализации и развития института множественного гражданства особую актуальность приобретает проблема уголовной ответственности лиц с двойным гражданством. Профессор А.В. Наумов обоснованно указывает, что определяющим фактором должно выступать наличие российского гражданства независимо от наличия гражданст</w:t>
      </w:r>
      <w:r w:rsidR="005F63D3">
        <w:rPr>
          <w:rFonts w:cs="Times New Roman"/>
          <w:sz w:val="28"/>
          <w:szCs w:val="28"/>
          <w:lang w:val="ru-RU"/>
        </w:rPr>
        <w:t>ва иностранного государства</w:t>
      </w:r>
      <w:r w:rsidR="007537CF">
        <w:rPr>
          <w:rFonts w:cs="Times New Roman"/>
          <w:sz w:val="28"/>
          <w:szCs w:val="28"/>
          <w:lang w:val="ru-RU"/>
        </w:rPr>
        <w:t xml:space="preserve"> [8]</w:t>
      </w:r>
      <w:r w:rsidRPr="00D40865">
        <w:rPr>
          <w:rFonts w:cs="Times New Roman"/>
          <w:sz w:val="28"/>
          <w:szCs w:val="28"/>
          <w:lang w:val="ru-RU"/>
        </w:rPr>
        <w:t>. Однако судебная практика демонстрирует неоднозначность подходов к данной проблеме.</w:t>
      </w:r>
    </w:p>
    <w:p w14:paraId="56B48317" w14:textId="3F038BFB"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Показательным является дело Верховцева Д.А. (2022 г.), имевшего гражданство России и Израиля. Московский городской суд квалифицировал его действия по передаче секретных сведений израильским спецслужбам по ст. 275 УК РФ, несмотря на заявления защиты о том, что подсудимый действовал как гражданин Израиля в ин</w:t>
      </w:r>
      <w:r w:rsidR="005F63D3">
        <w:rPr>
          <w:rFonts w:cs="Times New Roman"/>
          <w:sz w:val="28"/>
          <w:szCs w:val="28"/>
          <w:lang w:val="ru-RU"/>
        </w:rPr>
        <w:t>тересах своей второй родины</w:t>
      </w:r>
      <w:r w:rsidRPr="00D40865">
        <w:rPr>
          <w:rFonts w:cs="Times New Roman"/>
          <w:sz w:val="28"/>
          <w:szCs w:val="28"/>
          <w:lang w:val="ru-RU"/>
        </w:rPr>
        <w:t>. Верховный Суд РФ в апелляционном определении от 23.08.2022 подтвердил правильность данной квалификации, указав, что "наличие у лица гражданства иностранного государства не исключает его уголовной ответственности за государственную измену как гражд</w:t>
      </w:r>
      <w:r w:rsidR="005F63D3">
        <w:rPr>
          <w:rFonts w:cs="Times New Roman"/>
          <w:sz w:val="28"/>
          <w:szCs w:val="28"/>
          <w:lang w:val="ru-RU"/>
        </w:rPr>
        <w:t>анина Российской Федерации"</w:t>
      </w:r>
      <w:r w:rsidRPr="00D40865">
        <w:rPr>
          <w:rFonts w:cs="Times New Roman"/>
          <w:sz w:val="28"/>
          <w:szCs w:val="28"/>
          <w:lang w:val="ru-RU"/>
        </w:rPr>
        <w:t>.</w:t>
      </w:r>
    </w:p>
    <w:p w14:paraId="6615E1C5" w14:textId="6CC6DFA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Иной подход был продемонстрирован в деле Прилепина А.С. (2022 г.), имевшего российско-американское гражданство. Суд столкнулся с дилеммой квалификации действий, совершенных подсудимым в период нахождения на территории США с использованием американского паспорта. Защита настаивала на том, что в момент совершения инкриминируемых деяний Прилепин А.С. действовал исключительно как гражданин США, что исключает квалификацию по ст. 275 УК РФ. Суд частично согласился с данной позицией, переквалифицировав действия подсудимого</w:t>
      </w:r>
      <w:r w:rsidR="005F63D3">
        <w:rPr>
          <w:rFonts w:cs="Times New Roman"/>
          <w:sz w:val="28"/>
          <w:szCs w:val="28"/>
          <w:lang w:val="ru-RU"/>
        </w:rPr>
        <w:t xml:space="preserve"> на ст. 276 УК РФ (шпионаж)</w:t>
      </w:r>
      <w:r w:rsidRPr="00D40865">
        <w:rPr>
          <w:rFonts w:cs="Times New Roman"/>
          <w:sz w:val="28"/>
          <w:szCs w:val="28"/>
          <w:lang w:val="ru-RU"/>
        </w:rPr>
        <w:t>.</w:t>
      </w:r>
    </w:p>
    <w:p w14:paraId="7083294A" w14:textId="3C8E2D14"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lastRenderedPageBreak/>
        <w:t>Дискуссионным остается вопрос об ответственности лиц, утративших гражданство РФ после совершения преступления. В соответствии с общими принципами уголовного права определяющим фактором должно выступать гражданство на момент совершения деяния. Данная позиция находит подтверждение в судебной практике: в деле Митрохина К.В. (2023 г.) суд квалифицировал действия подсудимого по ст. 275 УК РФ, несмотря на то, что к моменту вынесения приговора он уже утратил российское гражданство в связи с получением гражданст</w:t>
      </w:r>
      <w:r w:rsidR="005F63D3">
        <w:rPr>
          <w:rFonts w:cs="Times New Roman"/>
          <w:sz w:val="28"/>
          <w:szCs w:val="28"/>
          <w:lang w:val="ru-RU"/>
        </w:rPr>
        <w:t>ва иностранного государства</w:t>
      </w:r>
      <w:r w:rsidRPr="00D40865">
        <w:rPr>
          <w:rFonts w:cs="Times New Roman"/>
          <w:sz w:val="28"/>
          <w:szCs w:val="28"/>
          <w:lang w:val="ru-RU"/>
        </w:rPr>
        <w:t>.</w:t>
      </w:r>
    </w:p>
    <w:p w14:paraId="72D3FD35" w14:textId="781C027A"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Особенности установления и доказывания субъективной стороны государственной измены в цифровую эпоху</w:t>
      </w:r>
    </w:p>
    <w:p w14:paraId="49A5C7E0"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Субъективная сторона государственной измены характеризуется виной в форме прямого умысла. Виновный осознает общественную опасность своих действий, предвидит возможность или неизбежность причинения вреда внешней безопасности России и желает наступления таких последствий.</w:t>
      </w:r>
    </w:p>
    <w:p w14:paraId="77F1AC52"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Развитие информационных технологий создало новые вызовы для установления и доказывания субъективной стороны государственной измены. Передача информации через анонимные мессенджеры, облачные хранилища данных, с использованием криптографических средств защиты существенно усложняет процесс определения конечного получателя сведений и осознания виновным его принадлежности к иностранным спецслужбам.</w:t>
      </w:r>
    </w:p>
    <w:p w14:paraId="0D6CBEBA" w14:textId="2C16E1A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Иллюстративным примером выступает дело Франчетти П.П. (2021 г.), который передавал информацию о дислокации военных объектов через мессенджер </w:t>
      </w:r>
      <w:r w:rsidRPr="00D40865">
        <w:rPr>
          <w:rFonts w:cs="Times New Roman"/>
          <w:sz w:val="28"/>
          <w:szCs w:val="28"/>
        </w:rPr>
        <w:t>Signal</w:t>
      </w:r>
      <w:r w:rsidRPr="00D40865">
        <w:rPr>
          <w:rFonts w:cs="Times New Roman"/>
          <w:sz w:val="28"/>
          <w:szCs w:val="28"/>
          <w:lang w:val="ru-RU"/>
        </w:rPr>
        <w:t>, полагая, что общается с представителем международной журналистской организации. В ходе расследования было установлено, что получателем информации являлся сотрудник разведывательной службы одной из стран НАТО. Ленинградский областной суд столкнулся с необходимостью доказывания прямого умысла подсудимого, который утверждал о неосведомленности относительно истинной принад</w:t>
      </w:r>
      <w:r w:rsidR="005F63D3">
        <w:rPr>
          <w:rFonts w:cs="Times New Roman"/>
          <w:sz w:val="28"/>
          <w:szCs w:val="28"/>
          <w:lang w:val="ru-RU"/>
        </w:rPr>
        <w:t>лежности своего собеседника</w:t>
      </w:r>
      <w:r w:rsidRPr="00D40865">
        <w:rPr>
          <w:rFonts w:cs="Times New Roman"/>
          <w:sz w:val="28"/>
          <w:szCs w:val="28"/>
          <w:lang w:val="ru-RU"/>
        </w:rPr>
        <w:t>.</w:t>
      </w:r>
    </w:p>
    <w:p w14:paraId="1FDD9FA4" w14:textId="147D21F0"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lastRenderedPageBreak/>
        <w:t>Еще более сложной представляется ситуация с использованием технологий "глубокой подделки" (</w:t>
      </w:r>
      <w:r w:rsidRPr="00D40865">
        <w:rPr>
          <w:rFonts w:cs="Times New Roman"/>
          <w:sz w:val="28"/>
          <w:szCs w:val="28"/>
        </w:rPr>
        <w:t>deepfake</w:t>
      </w:r>
      <w:r w:rsidRPr="00D40865">
        <w:rPr>
          <w:rFonts w:cs="Times New Roman"/>
          <w:sz w:val="28"/>
          <w:szCs w:val="28"/>
          <w:lang w:val="ru-RU"/>
        </w:rPr>
        <w:t xml:space="preserve">), позволяющих создавать реалистичные аудио- и видеоматериалы, имитирующие внешность и голос конкретных лиц. В деле Костенко Р.И. (2024 г.) подсудимый утверждал, что передавал информацию о военных разработках человеку, которого идентифицировал как своего бывшего сослуживца, однако в действительности общался с иностранным агентом, использовавшим технологию </w:t>
      </w:r>
      <w:r w:rsidRPr="00D40865">
        <w:rPr>
          <w:rFonts w:cs="Times New Roman"/>
          <w:sz w:val="28"/>
          <w:szCs w:val="28"/>
        </w:rPr>
        <w:t>deepfake</w:t>
      </w:r>
      <w:r w:rsidRPr="00D40865">
        <w:rPr>
          <w:rFonts w:cs="Times New Roman"/>
          <w:sz w:val="28"/>
          <w:szCs w:val="28"/>
          <w:lang w:val="ru-RU"/>
        </w:rPr>
        <w:t xml:space="preserve"> для имитации внешности и голоса</w:t>
      </w:r>
      <w:r w:rsidR="005F63D3">
        <w:rPr>
          <w:rFonts w:cs="Times New Roman"/>
          <w:sz w:val="28"/>
          <w:szCs w:val="28"/>
          <w:lang w:val="ru-RU"/>
        </w:rPr>
        <w:t xml:space="preserve"> знакомого подсудимому лица</w:t>
      </w:r>
      <w:r w:rsidRPr="00D40865">
        <w:rPr>
          <w:rFonts w:cs="Times New Roman"/>
          <w:sz w:val="28"/>
          <w:szCs w:val="28"/>
          <w:lang w:val="ru-RU"/>
        </w:rPr>
        <w:t>.</w:t>
      </w:r>
    </w:p>
    <w:p w14:paraId="144227A7" w14:textId="5AAF5B5A"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Особую сложность представляет доказывание умысла при передаче информации через облачные хранилища данных. По делу Кабанова М.Н. (2023 г.) техническая документация, содержащая сведения, составляющие государственную тайну, была размещена в облачном хранилище, впоследствии скомпрометированном иностранной разведывательной службой. Подсудимый утверждал, что не предполагал возможности несанкционированного доступа к данным и использовал облачное хранилище исключи</w:t>
      </w:r>
      <w:r w:rsidR="005F63D3">
        <w:rPr>
          <w:rFonts w:cs="Times New Roman"/>
          <w:sz w:val="28"/>
          <w:szCs w:val="28"/>
          <w:lang w:val="ru-RU"/>
        </w:rPr>
        <w:t>тельно для личного удобства</w:t>
      </w:r>
      <w:r w:rsidRPr="00D40865">
        <w:rPr>
          <w:rFonts w:cs="Times New Roman"/>
          <w:sz w:val="28"/>
          <w:szCs w:val="28"/>
          <w:lang w:val="ru-RU"/>
        </w:rPr>
        <w:t>.</w:t>
      </w:r>
    </w:p>
    <w:p w14:paraId="48F7F9AD"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 контексте цифровизации особую актуальность приобретает проблема разграничения прямого и косвенного умысла. Если лицо осознает возможность получения передаваемых сведений иностранными спецслужбами, но относится к этому безразлично, можно ли говорить о наличии прямого умысла, необходимого для квалификации государственной измены? Судебная практика склоняется к расширительному толкованию прямого умысла, что вызывает обоснованные возражения со стороны научного сообщества.</w:t>
      </w:r>
    </w:p>
    <w:p w14:paraId="6C322AAD" w14:textId="36899DD0"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Проблемы разграничения государственной измены и смежных составов преступлений</w:t>
      </w:r>
    </w:p>
    <w:p w14:paraId="5B9C1DF7"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Правильная квалификация государственной измены требует ее отграничения от смежных составов преступлений, прежде всего от шпионажа (ст. 276 УК РФ), разглашения государственной тайны (ст. 283 УК РФ) и незаконного получения сведений, составляющих государственную тайну (ст. 283.1 УК РФ).</w:t>
      </w:r>
    </w:p>
    <w:p w14:paraId="0F3674F6"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lastRenderedPageBreak/>
        <w:t>Основным критерием разграничения государственной измены и шпионажа традиционно выступает субъект преступления: государственную измену может совершить только гражданин РФ, тогда как субъектом шпионажа является иностранный гражданин или лицо без гражданства. Однако данный подход создает искусственные различия в оценке деяний одинаковой общественной опасности.</w:t>
      </w:r>
    </w:p>
    <w:p w14:paraId="3731A7E2"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Критический анализ судебной практики позволяет выделить дополнительные критерии разграничения:</w:t>
      </w:r>
    </w:p>
    <w:p w14:paraId="07024A85" w14:textId="77777777" w:rsidR="002A4BAB" w:rsidRPr="00D40865" w:rsidRDefault="007559E1" w:rsidP="007559E1">
      <w:pPr>
        <w:pStyle w:val="Compact"/>
        <w:numPr>
          <w:ilvl w:val="0"/>
          <w:numId w:val="1"/>
        </w:numPr>
        <w:spacing w:before="0" w:after="0" w:line="360" w:lineRule="auto"/>
        <w:ind w:left="0" w:firstLine="709"/>
        <w:jc w:val="both"/>
        <w:rPr>
          <w:rFonts w:cs="Times New Roman"/>
          <w:sz w:val="28"/>
          <w:szCs w:val="28"/>
          <w:lang w:val="ru-RU"/>
        </w:rPr>
      </w:pPr>
      <w:r w:rsidRPr="00D40865">
        <w:rPr>
          <w:rFonts w:cs="Times New Roman"/>
          <w:sz w:val="28"/>
          <w:szCs w:val="28"/>
          <w:lang w:val="ru-RU"/>
        </w:rPr>
        <w:t>предмет преступления (при государственной измене - государственная тайна и иные сведения, используемые против безопасности РФ; при шпионаже - сведения, составляющие государственную тайну);</w:t>
      </w:r>
    </w:p>
    <w:p w14:paraId="7DF17361" w14:textId="77777777" w:rsidR="002A4BAB" w:rsidRPr="00D40865" w:rsidRDefault="007559E1" w:rsidP="007559E1">
      <w:pPr>
        <w:pStyle w:val="Compact"/>
        <w:numPr>
          <w:ilvl w:val="0"/>
          <w:numId w:val="1"/>
        </w:numPr>
        <w:spacing w:before="0" w:after="0" w:line="360" w:lineRule="auto"/>
        <w:ind w:left="0" w:firstLine="709"/>
        <w:jc w:val="both"/>
        <w:rPr>
          <w:rFonts w:cs="Times New Roman"/>
          <w:sz w:val="28"/>
          <w:szCs w:val="28"/>
          <w:lang w:val="ru-RU"/>
        </w:rPr>
      </w:pPr>
      <w:r w:rsidRPr="00D40865">
        <w:rPr>
          <w:rFonts w:cs="Times New Roman"/>
          <w:sz w:val="28"/>
          <w:szCs w:val="28"/>
          <w:lang w:val="ru-RU"/>
        </w:rPr>
        <w:t>адресат информации (при государственной измене - конкретное иностранное государство, международная либо иностранная организация или их представители; при шпионаже - иностранная разведка или лицо, действующее в ее интересах);</w:t>
      </w:r>
    </w:p>
    <w:p w14:paraId="32E450BE" w14:textId="77777777" w:rsidR="002A4BAB" w:rsidRPr="00D40865" w:rsidRDefault="007559E1" w:rsidP="007559E1">
      <w:pPr>
        <w:pStyle w:val="Compact"/>
        <w:numPr>
          <w:ilvl w:val="0"/>
          <w:numId w:val="1"/>
        </w:numPr>
        <w:spacing w:before="0" w:after="0" w:line="360" w:lineRule="auto"/>
        <w:ind w:left="0" w:firstLine="709"/>
        <w:jc w:val="both"/>
        <w:rPr>
          <w:rFonts w:cs="Times New Roman"/>
          <w:sz w:val="28"/>
          <w:szCs w:val="28"/>
          <w:lang w:val="ru-RU"/>
        </w:rPr>
      </w:pPr>
      <w:r w:rsidRPr="00D40865">
        <w:rPr>
          <w:rFonts w:cs="Times New Roman"/>
          <w:sz w:val="28"/>
          <w:szCs w:val="28"/>
          <w:lang w:val="ru-RU"/>
        </w:rPr>
        <w:t>способ получения сведений (при государственной измене - законный доступ к сведениям; при шпионаже - собирание сведений различными способами).</w:t>
      </w:r>
    </w:p>
    <w:p w14:paraId="7BFA5047" w14:textId="77777777" w:rsidR="002A4BAB" w:rsidRPr="00D40865" w:rsidRDefault="007559E1" w:rsidP="00FF1AEF">
      <w:pPr>
        <w:pStyle w:val="FirstParagraph"/>
        <w:spacing w:before="0" w:after="0" w:line="360" w:lineRule="auto"/>
        <w:ind w:firstLine="709"/>
        <w:jc w:val="both"/>
        <w:rPr>
          <w:rFonts w:cs="Times New Roman"/>
          <w:sz w:val="28"/>
          <w:szCs w:val="28"/>
          <w:lang w:val="ru-RU"/>
        </w:rPr>
      </w:pPr>
      <w:r w:rsidRPr="00D40865">
        <w:rPr>
          <w:rFonts w:cs="Times New Roman"/>
          <w:sz w:val="28"/>
          <w:szCs w:val="28"/>
          <w:lang w:val="ru-RU"/>
        </w:rPr>
        <w:t>Сложности возникают при разграничении государственной измены и разглашения государственной тайны (ст. 283 УК РФ). Ключевым отличием выступает направленность умысла: при государственной измене лицо осознает, что передает сведения иностранному государству или его представителям; при разглашении государственной тайны отсутствует цель передачи сведений именно иностранным субъектам.</w:t>
      </w:r>
    </w:p>
    <w:p w14:paraId="4CE6AA08" w14:textId="62325B18"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 xml:space="preserve">Показательным является дело Мелии О.К. (2023 г.), который разместил в открытом доступе в сети Интернет сведения, составляющие государственную тайну. Несмотря на то, что данные сведения стали доступны, в том числе, иностранным спецслужбам, суд квалифицировал действия подсудимого по ст. 283 </w:t>
      </w:r>
      <w:r w:rsidRPr="00D40865">
        <w:rPr>
          <w:rFonts w:cs="Times New Roman"/>
          <w:sz w:val="28"/>
          <w:szCs w:val="28"/>
          <w:lang w:val="ru-RU"/>
        </w:rPr>
        <w:lastRenderedPageBreak/>
        <w:t>УК РФ, а не по ст. 275 УК РФ, поскольку не был доказан умысел на передачу сведений имен</w:t>
      </w:r>
      <w:r w:rsidR="005F63D3">
        <w:rPr>
          <w:rFonts w:cs="Times New Roman"/>
          <w:sz w:val="28"/>
          <w:szCs w:val="28"/>
          <w:lang w:val="ru-RU"/>
        </w:rPr>
        <w:t>но иностранному государству</w:t>
      </w:r>
      <w:r w:rsidRPr="00D40865">
        <w:rPr>
          <w:rFonts w:cs="Times New Roman"/>
          <w:sz w:val="28"/>
          <w:szCs w:val="28"/>
          <w:lang w:val="ru-RU"/>
        </w:rPr>
        <w:t>.</w:t>
      </w:r>
    </w:p>
    <w:p w14:paraId="4815C0A9"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Разграничение государственной измены и незаконного получения сведений, составляющих государственную тайну (ст. 283.1 УК РФ), основывается на цели получения сведений: при государственной измене - для передачи иностранному государству; при незаконном получении - для любых других целей, не связанных с передачей иностранному государству.</w:t>
      </w:r>
    </w:p>
    <w:p w14:paraId="058CDF60" w14:textId="3035488E"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Законодательные новации 2022-2024 годов: критический анализ</w:t>
      </w:r>
    </w:p>
    <w:p w14:paraId="08622066" w14:textId="2AB294A3"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Период 2022-2024 гг. характеризуется существенными изменениями уголовного законодательства в сфере защиты национальной безопасности. Федеральным законом от 14.07.2022 № 307-ФЗ санкция ст. 275 УК РФ была дополнена альтернативным наказанием в виде пожизненного лишения свободы</w:t>
      </w:r>
      <w:r w:rsidR="007537CF">
        <w:rPr>
          <w:rFonts w:cs="Times New Roman"/>
          <w:sz w:val="28"/>
          <w:szCs w:val="28"/>
          <w:lang w:val="ru-RU"/>
        </w:rPr>
        <w:t xml:space="preserve"> </w:t>
      </w:r>
      <w:r w:rsidR="007537CF" w:rsidRPr="007537CF">
        <w:rPr>
          <w:rFonts w:cs="Times New Roman"/>
          <w:sz w:val="28"/>
          <w:szCs w:val="28"/>
          <w:lang w:val="ru-RU"/>
        </w:rPr>
        <w:t>[9].</w:t>
      </w:r>
      <w:r w:rsidRPr="00D40865">
        <w:rPr>
          <w:rFonts w:cs="Times New Roman"/>
          <w:sz w:val="28"/>
          <w:szCs w:val="28"/>
          <w:lang w:val="ru-RU"/>
        </w:rPr>
        <w:t xml:space="preserve"> Данное изменение отражает усиление репрессивной направленности уголовной политики и стремление законодателя к максимальной защите национальной безопасности в условиях ге</w:t>
      </w:r>
      <w:r w:rsidR="005F63D3">
        <w:rPr>
          <w:rFonts w:cs="Times New Roman"/>
          <w:sz w:val="28"/>
          <w:szCs w:val="28"/>
          <w:lang w:val="ru-RU"/>
        </w:rPr>
        <w:t>ополитической напряженности</w:t>
      </w:r>
      <w:r w:rsidRPr="00D40865">
        <w:rPr>
          <w:rFonts w:cs="Times New Roman"/>
          <w:sz w:val="28"/>
          <w:szCs w:val="28"/>
          <w:lang w:val="ru-RU"/>
        </w:rPr>
        <w:t>.</w:t>
      </w:r>
    </w:p>
    <w:p w14:paraId="37819736"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Принципиальное значение имеет расширение диспозиции ст. 275 УК РФ за счет включения в перечень адресатов помощи "международных и иностранных организаций, деятельность которых направлена против безопасности Российской Федерации". Данная новелла создает определенные риски произвольного применения закона в связи с отсутствием четких критериев определения таких организаций и оценочным характером формулировки "деятельность, направленная против безопасности РФ".</w:t>
      </w:r>
    </w:p>
    <w:p w14:paraId="0192C844" w14:textId="6CF9C276"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Введение в УК РФ новых статей - 275.1 (конфиденциальное сотрудничество с иностранным государством) и 276.1 (содействие реализации ограничительных мер, введенных иностранным государством) - существенно расширило круг деяний, квалифицируемых как посягательства на безопа</w:t>
      </w:r>
      <w:r w:rsidR="007537CF">
        <w:rPr>
          <w:rFonts w:cs="Times New Roman"/>
          <w:sz w:val="28"/>
          <w:szCs w:val="28"/>
          <w:lang w:val="ru-RU"/>
        </w:rPr>
        <w:t>сность государства</w:t>
      </w:r>
      <w:r w:rsidRPr="00D40865">
        <w:rPr>
          <w:rFonts w:cs="Times New Roman"/>
          <w:sz w:val="28"/>
          <w:szCs w:val="28"/>
          <w:lang w:val="ru-RU"/>
        </w:rPr>
        <w:t xml:space="preserve">. Особую дискуссию вызвала ст. 276.1 УК РФ, предусматривающая ответственность за содействие реализации ограничительных мер, введенных </w:t>
      </w:r>
      <w:r w:rsidRPr="00D40865">
        <w:rPr>
          <w:rFonts w:cs="Times New Roman"/>
          <w:sz w:val="28"/>
          <w:szCs w:val="28"/>
          <w:lang w:val="ru-RU"/>
        </w:rPr>
        <w:lastRenderedPageBreak/>
        <w:t>иностранным государством, иностранной организацией или международной организацией в отношении российских публично-правовых образований, юридических и физических лиц</w:t>
      </w:r>
      <w:r w:rsidR="007537CF">
        <w:rPr>
          <w:rFonts w:cs="Times New Roman"/>
          <w:sz w:val="28"/>
          <w:szCs w:val="28"/>
          <w:lang w:val="ru-RU"/>
        </w:rPr>
        <w:t xml:space="preserve"> [10]</w:t>
      </w:r>
      <w:r w:rsidRPr="00D40865">
        <w:rPr>
          <w:rFonts w:cs="Times New Roman"/>
          <w:sz w:val="28"/>
          <w:szCs w:val="28"/>
          <w:lang w:val="ru-RU"/>
        </w:rPr>
        <w:t>.</w:t>
      </w:r>
    </w:p>
    <w:p w14:paraId="77197D6A" w14:textId="03C90A1B"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Критический анализ судебной практики по делам о государственной измене за 2022-2024 гг. п</w:t>
      </w:r>
      <w:bookmarkStart w:id="0" w:name="_GoBack"/>
      <w:bookmarkEnd w:id="0"/>
      <w:r w:rsidRPr="00D40865">
        <w:rPr>
          <w:rFonts w:cs="Times New Roman"/>
          <w:sz w:val="28"/>
          <w:szCs w:val="28"/>
          <w:lang w:val="ru-RU"/>
        </w:rPr>
        <w:t>озволяет выявить тенденцию к расширительному толкованию объективной стороны преступления. Так, в деле Соколова А.Н. (2024 г.) суд квалифицировал как государственную измену действия лица, которое предоставляло иностранной организации консультации по вопросам, связанным с обходом российских законодательных ограничений в сфере внешне</w:t>
      </w:r>
      <w:r w:rsidR="005F63D3">
        <w:rPr>
          <w:rFonts w:cs="Times New Roman"/>
          <w:sz w:val="28"/>
          <w:szCs w:val="28"/>
          <w:lang w:val="ru-RU"/>
        </w:rPr>
        <w:t>экономической деятельности.</w:t>
      </w:r>
    </w:p>
    <w:p w14:paraId="27ED4BDD" w14:textId="333B524D"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Особую обеспокоенность вызывает отсутствие четких критериев для назначения пожизненного лишения свободы за государственную измену. Анализ судебной практики свидетельствует о том, что данная мера наказания применяется преимущественно в случаях, когда деяние повлекло особо тяжкие последствия для безопасности государства. Так, в деле Баранова И.С. (2023 г.) суд назначил пожизненное лишение свободы за передачу сведений о системе противоракетной обороны, что, по мнению суда, создало реальную угрозу безопа</w:t>
      </w:r>
      <w:r w:rsidR="005F63D3">
        <w:rPr>
          <w:rFonts w:cs="Times New Roman"/>
          <w:sz w:val="28"/>
          <w:szCs w:val="28"/>
          <w:lang w:val="ru-RU"/>
        </w:rPr>
        <w:t>сности Российской Федерации</w:t>
      </w:r>
      <w:r w:rsidRPr="00D40865">
        <w:rPr>
          <w:rFonts w:cs="Times New Roman"/>
          <w:sz w:val="28"/>
          <w:szCs w:val="28"/>
          <w:lang w:val="ru-RU"/>
        </w:rPr>
        <w:t>.</w:t>
      </w:r>
    </w:p>
    <w:p w14:paraId="55842225" w14:textId="77777777" w:rsidR="002A4BAB" w:rsidRPr="00D40865" w:rsidRDefault="007559E1" w:rsidP="00DB137B">
      <w:pPr>
        <w:pStyle w:val="a0"/>
        <w:spacing w:before="0" w:after="0" w:line="360" w:lineRule="auto"/>
        <w:ind w:firstLine="709"/>
        <w:jc w:val="center"/>
        <w:rPr>
          <w:rFonts w:cs="Times New Roman"/>
          <w:sz w:val="28"/>
          <w:szCs w:val="28"/>
          <w:lang w:val="ru-RU"/>
        </w:rPr>
      </w:pPr>
      <w:r w:rsidRPr="00D40865">
        <w:rPr>
          <w:rFonts w:cs="Times New Roman"/>
          <w:b/>
          <w:bCs/>
          <w:sz w:val="28"/>
          <w:szCs w:val="28"/>
          <w:lang w:val="ru-RU"/>
        </w:rPr>
        <w:t>Выводы</w:t>
      </w:r>
    </w:p>
    <w:p w14:paraId="491EBC82" w14:textId="77777777" w:rsidR="002A4BAB" w:rsidRPr="00D40865" w:rsidRDefault="007559E1" w:rsidP="00FF1AEF">
      <w:pPr>
        <w:pStyle w:val="a0"/>
        <w:spacing w:before="0" w:after="0" w:line="360" w:lineRule="auto"/>
        <w:ind w:firstLine="709"/>
        <w:jc w:val="both"/>
        <w:rPr>
          <w:rFonts w:cs="Times New Roman"/>
          <w:sz w:val="28"/>
          <w:szCs w:val="28"/>
          <w:lang w:val="ru-RU"/>
        </w:rPr>
      </w:pPr>
      <w:r w:rsidRPr="00D40865">
        <w:rPr>
          <w:rFonts w:cs="Times New Roman"/>
          <w:sz w:val="28"/>
          <w:szCs w:val="28"/>
          <w:lang w:val="ru-RU"/>
        </w:rPr>
        <w:t>Проведенное исследование позволяет сформулировать следующие конкретные выводы и предложения:</w:t>
      </w:r>
    </w:p>
    <w:p w14:paraId="3B32A39D"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 xml:space="preserve">Для обеспечения унифицированной интерпретации охраняемого юридического блага при квалификации посягательств, предусмотренных статьями о противоправных деяниях против интересов государства, целесообразно дополнить судебное толкование Пленума ВС РФ от 09.06.2004 № 5 следующим положением: "Защищенность от внешнего вмешательства, гарантирующая неприкосновенность территориальных границ, сохранность конституционного устройства, оборонный потенциал и стратегические государственные приоритеты </w:t>
      </w:r>
      <w:r w:rsidRPr="00D40865">
        <w:rPr>
          <w:rFonts w:ascii="Times New Roman" w:hAnsi="Times New Roman" w:cs="Times New Roman"/>
          <w:sz w:val="28"/>
          <w:szCs w:val="28"/>
          <w:lang w:val="ru-RU"/>
        </w:rPr>
        <w:lastRenderedPageBreak/>
        <w:t>Российской Федерации, образует комплексный объект уголовно-правовой охраны от враждебных действий иностранных субъектов, международных структур, зарубежных организаций, граждан других государств и лиц без подданства".</w:t>
      </w:r>
    </w:p>
    <w:p w14:paraId="20BB9674"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Для преодоления правовой неопределенности категории "содействие иностранному субъекту" в диспозиции ст. 275 УК РФ предлагается дополнить статью раскрывающим положением: "Содействием внешним субъектам, представляющим другие государства, интернациональные или заграничные организации в осуществлении недружественной активности признаются следующие умышленные действия: а) финансирование или материально-техническое обеспечение подрывной деятельности; б) пособничество в рекрутировании агентурной сети на территории РФ; в) предоставление укрытия, фальшивых документов или транспортных средств лицам, вовлеченным в подрывную деятельность; г) консультационное сопровождение по противодействию правоохранительной системе РФ; д) обеспечение условий для несанкционированного пересечения Государственной границы РФ лицами, ведущими подрывную деятельность; е) передача средств криптографической защиты информации, специальных технических устройств для скрытого сбора данных".</w:t>
      </w:r>
    </w:p>
    <w:p w14:paraId="5787A081"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В целях устранения юридической неопределенности при квалификации поведения лиц с множественным гражданством целесообразно дополнить ст. 275 УК РФ частью 2: "Лицо, имеющее гражданство Российской Федерации наряду с подданством иного государства, подлежит уголовно-правовой ответственности за измену родине вне зависимости от локации совершения преступного деяния, фактического местопребывания и наличия у него идентификационных документов иностранного государства".</w:t>
      </w:r>
    </w:p>
    <w:p w14:paraId="09254FD4"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 xml:space="preserve">Для разграничения прямого и косвенного умысла при квалификации измены родине представляется целесообразным закрепить в разъяснениях Пленума Верховного Суда РФ следующие критерии: "Прямой умысел при </w:t>
      </w:r>
      <w:r w:rsidRPr="00D40865">
        <w:rPr>
          <w:rFonts w:ascii="Times New Roman" w:hAnsi="Times New Roman" w:cs="Times New Roman"/>
          <w:sz w:val="28"/>
          <w:szCs w:val="28"/>
          <w:lang w:val="ru-RU"/>
        </w:rPr>
        <w:lastRenderedPageBreak/>
        <w:t>совершении преступления, предусмотренного ст. 275 УК РФ, устанавливается при доказанности следующих обстоятельств: а) осведомленность субъекта о принадлежности получателя информации к зарубежному государственному аппарату, международной структуре, иностранной организации или их представителям; б) понимание секретного или конфиденциального характера передаваемых сведений; в) предвидение потенциального ущерба стратегической защищенности РФ вследствие передачи таких сведений; г) целенаправленное намерение передать указанную информацию именно представителям иностранных субъектов. Если лицо предвидело вероятность получения передаваемых сведений разведывательными службами других государств, но не имело такой цели, а лишь осознанно допускало подобное развитие событий или проявляло безразличие к этой вероятности, состав измены родине отсутствует".</w:t>
      </w:r>
    </w:p>
    <w:p w14:paraId="77743F1F"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Для устранения юридической неопределенности формулировки "структуры и объединения, функционирование которых создает угрозу национальным интересам" целесообразно дополнить ст. 275 УК РФ разъяснительным положением: "К организационным структурам, представляющим угрозу стратегической защищенности Российского государства, относятся юридические образования, внесенные в специализированный реестр, формируемый Советом Безопасности РФ при установлении неопровержимых свидетельств их вовлеченности в действия, подрывающие государственный суверенитет, неприкосновенность границ, оборонный потенциал либо иные ключевые национальные приоритеты".</w:t>
      </w:r>
    </w:p>
    <w:p w14:paraId="41A67090" w14:textId="77777777" w:rsidR="002A4BAB" w:rsidRPr="00D40865" w:rsidRDefault="007559E1" w:rsidP="007559E1">
      <w:pPr>
        <w:numPr>
          <w:ilvl w:val="0"/>
          <w:numId w:val="2"/>
        </w:numPr>
        <w:spacing w:after="0" w:line="360" w:lineRule="auto"/>
        <w:ind w:left="0" w:firstLine="709"/>
        <w:jc w:val="both"/>
        <w:rPr>
          <w:rFonts w:ascii="Times New Roman" w:hAnsi="Times New Roman" w:cs="Times New Roman"/>
          <w:sz w:val="28"/>
          <w:szCs w:val="28"/>
          <w:lang w:val="ru-RU"/>
        </w:rPr>
      </w:pPr>
      <w:r w:rsidRPr="00D40865">
        <w:rPr>
          <w:rFonts w:ascii="Times New Roman" w:hAnsi="Times New Roman" w:cs="Times New Roman"/>
          <w:sz w:val="28"/>
          <w:szCs w:val="28"/>
          <w:lang w:val="ru-RU"/>
        </w:rPr>
        <w:t xml:space="preserve">Для обеспечения справедливости и дифференциации наказания при определении меры ответственности в виде пожизненного лишения свободы за измену родине предлагается дополнить ст. 275 УК РФ квалифицирующими признаками: "Преступное деяние в форме измены Родине, совершенное при следующих обстоятельствах: а) в отношении информации, составляющей государственную тайну особой важности; б) повлекшее причинение </w:t>
      </w:r>
      <w:r w:rsidRPr="00D40865">
        <w:rPr>
          <w:rFonts w:ascii="Times New Roman" w:hAnsi="Times New Roman" w:cs="Times New Roman"/>
          <w:sz w:val="28"/>
          <w:szCs w:val="28"/>
          <w:lang w:val="ru-RU"/>
        </w:rPr>
        <w:lastRenderedPageBreak/>
        <w:t>значительного ущерба государственному суверенитету, территориальной неприкосновенности или обороноспособности Российской Федерации; в) в период действия военного положения, вооруженного противостояния или проведения специальной военной операции; г) сопряженное с получением виновным материального вознаграждения или иных имущественных выгод в размере свыше одного миллиона рублей, - наказывается лишением свободы на срок от пятнадцати до двадцати лет с ограничением свободы на срок до двух лет либо пожизненным лишением свободы".</w:t>
      </w:r>
    </w:p>
    <w:p w14:paraId="29391829" w14:textId="77777777" w:rsidR="002A4BAB" w:rsidRPr="00D40865" w:rsidRDefault="007559E1" w:rsidP="00FF1AEF">
      <w:pPr>
        <w:pStyle w:val="FirstParagraph"/>
        <w:spacing w:before="0" w:after="0" w:line="360" w:lineRule="auto"/>
        <w:ind w:firstLine="709"/>
        <w:jc w:val="both"/>
        <w:rPr>
          <w:rFonts w:cs="Times New Roman"/>
          <w:sz w:val="28"/>
          <w:szCs w:val="28"/>
          <w:lang w:val="ru-RU"/>
        </w:rPr>
      </w:pPr>
      <w:r w:rsidRPr="00D40865">
        <w:rPr>
          <w:rFonts w:cs="Times New Roman"/>
          <w:sz w:val="28"/>
          <w:szCs w:val="28"/>
          <w:lang w:val="ru-RU"/>
        </w:rPr>
        <w:t>Реализация предложенных мер будет способствовать повышению эффективности уголовно-правовой охраны национальной безопасности, устранению существующих пробелов и коллизий в правовом регулировании ответственности за государственную измену и шпионаж, а также обеспечению единообразия судебной практики по данной категории дел.</w:t>
      </w:r>
    </w:p>
    <w:p w14:paraId="0E609A30" w14:textId="77777777" w:rsidR="002A4BAB" w:rsidRPr="005F63D3" w:rsidRDefault="007559E1" w:rsidP="00A23784">
      <w:pPr>
        <w:pStyle w:val="a0"/>
        <w:spacing w:before="0" w:after="0" w:line="360" w:lineRule="auto"/>
        <w:ind w:firstLine="709"/>
        <w:jc w:val="center"/>
        <w:rPr>
          <w:rFonts w:cs="Times New Roman"/>
          <w:sz w:val="28"/>
          <w:szCs w:val="28"/>
          <w:lang w:val="ru-RU"/>
        </w:rPr>
      </w:pPr>
      <w:r w:rsidRPr="005F63D3">
        <w:rPr>
          <w:rFonts w:cs="Times New Roman"/>
          <w:b/>
          <w:bCs/>
          <w:sz w:val="28"/>
          <w:szCs w:val="28"/>
          <w:lang w:val="ru-RU"/>
        </w:rPr>
        <w:t>Список литературы</w:t>
      </w:r>
    </w:p>
    <w:p w14:paraId="29AEFE87"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1.</w:t>
      </w:r>
      <w:r w:rsidRPr="005F63D3">
        <w:rPr>
          <w:rFonts w:ascii="Times New Roman" w:hAnsi="Times New Roman" w:cs="Times New Roman"/>
          <w:sz w:val="28"/>
          <w:szCs w:val="28"/>
          <w:lang w:val="ru-RU"/>
        </w:rPr>
        <w:tab/>
        <w:t>Уголовный кодекс Российской Федерации от 13.06.1996 № 63-ФЗ // Собрание законодательства РФ. 1996. № 25. Ст. 2954.</w:t>
      </w:r>
    </w:p>
    <w:p w14:paraId="39674408"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2.</w:t>
      </w:r>
      <w:r w:rsidRPr="005F63D3">
        <w:rPr>
          <w:rFonts w:ascii="Times New Roman" w:hAnsi="Times New Roman" w:cs="Times New Roman"/>
          <w:sz w:val="28"/>
          <w:szCs w:val="28"/>
          <w:lang w:val="ru-RU"/>
        </w:rPr>
        <w:tab/>
        <w:t>Комментарий к Уголовному кодексу Российской Федерации / под ред. А.И. Рарога. М.: Проспект, 2021. 896 с.</w:t>
      </w:r>
    </w:p>
    <w:p w14:paraId="49A9A938"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3.</w:t>
      </w:r>
      <w:r w:rsidRPr="005F63D3">
        <w:rPr>
          <w:rFonts w:ascii="Times New Roman" w:hAnsi="Times New Roman" w:cs="Times New Roman"/>
          <w:sz w:val="28"/>
          <w:szCs w:val="28"/>
          <w:lang w:val="ru-RU"/>
        </w:rPr>
        <w:tab/>
        <w:t>Ветров Н.И. Уголовное право. Особенная часть. М.: ЮНИТИ-ДАНА, 2015. 526 с.</w:t>
      </w:r>
    </w:p>
    <w:p w14:paraId="0CCD99AC"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4.</w:t>
      </w:r>
      <w:r w:rsidRPr="005F63D3">
        <w:rPr>
          <w:rFonts w:ascii="Times New Roman" w:hAnsi="Times New Roman" w:cs="Times New Roman"/>
          <w:sz w:val="28"/>
          <w:szCs w:val="28"/>
          <w:lang w:val="ru-RU"/>
        </w:rPr>
        <w:tab/>
        <w:t>Дьяков С.В. Государственные преступления (против основ конституционного строя и безопасности государства). М.: Норма, 1999. 352 с.</w:t>
      </w:r>
    </w:p>
    <w:p w14:paraId="468D042C"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5.</w:t>
      </w:r>
      <w:r w:rsidRPr="005F63D3">
        <w:rPr>
          <w:rFonts w:ascii="Times New Roman" w:hAnsi="Times New Roman" w:cs="Times New Roman"/>
          <w:sz w:val="28"/>
          <w:szCs w:val="28"/>
          <w:lang w:val="ru-RU"/>
        </w:rPr>
        <w:tab/>
        <w:t>Борисов С.В. Преступления против основ конституционного строя и безопасности государства. СПб.: Юридический центр Пресс, 2003. 468 с.</w:t>
      </w:r>
    </w:p>
    <w:p w14:paraId="2AE5D7AA"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6.</w:t>
      </w:r>
      <w:r w:rsidRPr="005F63D3">
        <w:rPr>
          <w:rFonts w:ascii="Times New Roman" w:hAnsi="Times New Roman" w:cs="Times New Roman"/>
          <w:sz w:val="28"/>
          <w:szCs w:val="28"/>
          <w:lang w:val="ru-RU"/>
        </w:rPr>
        <w:tab/>
        <w:t>Постановление Пленума Верховного Суда РФ от 09.06.2004 № 5 "О судебной практике по делам о государственной измене, шпионаже и разглашении государственной тайны" // Российская газета. 2004. 18 июня.</w:t>
      </w:r>
    </w:p>
    <w:p w14:paraId="4E8F59C4"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lastRenderedPageBreak/>
        <w:t>7.</w:t>
      </w:r>
      <w:r w:rsidRPr="005F63D3">
        <w:rPr>
          <w:rFonts w:ascii="Times New Roman" w:hAnsi="Times New Roman" w:cs="Times New Roman"/>
          <w:sz w:val="28"/>
          <w:szCs w:val="28"/>
          <w:lang w:val="ru-RU"/>
        </w:rPr>
        <w:tab/>
        <w:t>Конституция Российской Федерации (принята всенародным голосованием 12.12.1993) // Собрание законодательства РФ. 2014. № 31. Ст. 4398.</w:t>
      </w:r>
    </w:p>
    <w:p w14:paraId="6C739934" w14:textId="77777777" w:rsidR="005F63D3" w:rsidRPr="005F63D3" w:rsidRDefault="005F63D3" w:rsidP="005F63D3">
      <w:pPr>
        <w:spacing w:after="0" w:line="360" w:lineRule="auto"/>
        <w:ind w:left="709"/>
        <w:jc w:val="both"/>
        <w:rPr>
          <w:rFonts w:ascii="Times New Roman" w:hAnsi="Times New Roman" w:cs="Times New Roman"/>
          <w:sz w:val="28"/>
          <w:szCs w:val="28"/>
          <w:lang w:val="ru-RU"/>
        </w:rPr>
      </w:pPr>
      <w:r w:rsidRPr="005F63D3">
        <w:rPr>
          <w:rFonts w:ascii="Times New Roman" w:hAnsi="Times New Roman" w:cs="Times New Roman"/>
          <w:sz w:val="28"/>
          <w:szCs w:val="28"/>
          <w:lang w:val="ru-RU"/>
        </w:rPr>
        <w:t>8.</w:t>
      </w:r>
      <w:r w:rsidRPr="005F63D3">
        <w:rPr>
          <w:rFonts w:ascii="Times New Roman" w:hAnsi="Times New Roman" w:cs="Times New Roman"/>
          <w:sz w:val="28"/>
          <w:szCs w:val="28"/>
          <w:lang w:val="ru-RU"/>
        </w:rPr>
        <w:tab/>
        <w:t>Наумов А.В. Российское уголовное право. Особенная часть. М.: БЕК, 2004. 624 с.</w:t>
      </w:r>
    </w:p>
    <w:p w14:paraId="29C95A66" w14:textId="77777777" w:rsidR="005F63D3" w:rsidRPr="005F63D3" w:rsidRDefault="005F63D3" w:rsidP="005F63D3">
      <w:pPr>
        <w:spacing w:after="0" w:line="360" w:lineRule="auto"/>
        <w:ind w:left="709"/>
        <w:jc w:val="both"/>
        <w:rPr>
          <w:rFonts w:ascii="Times New Roman" w:hAnsi="Times New Roman" w:cs="Times New Roman"/>
          <w:sz w:val="28"/>
          <w:szCs w:val="28"/>
        </w:rPr>
      </w:pPr>
      <w:r w:rsidRPr="005F63D3">
        <w:rPr>
          <w:rFonts w:ascii="Times New Roman" w:hAnsi="Times New Roman" w:cs="Times New Roman"/>
          <w:sz w:val="28"/>
          <w:szCs w:val="28"/>
          <w:lang w:val="ru-RU"/>
        </w:rPr>
        <w:t>9.</w:t>
      </w:r>
      <w:r w:rsidRPr="005F63D3">
        <w:rPr>
          <w:rFonts w:ascii="Times New Roman" w:hAnsi="Times New Roman" w:cs="Times New Roman"/>
          <w:sz w:val="28"/>
          <w:szCs w:val="28"/>
          <w:lang w:val="ru-RU"/>
        </w:rPr>
        <w:tab/>
        <w:t xml:space="preserve">Федеральный закон от 14.07.2022 № 307-ФЗ "О внесении изменений в Уголовный кодекс Российской Федерации" // Собрание законодательства РФ. 2022. </w:t>
      </w:r>
      <w:r w:rsidRPr="005F63D3">
        <w:rPr>
          <w:rFonts w:ascii="Times New Roman" w:hAnsi="Times New Roman" w:cs="Times New Roman"/>
          <w:sz w:val="28"/>
          <w:szCs w:val="28"/>
        </w:rPr>
        <w:t>№ 29. Ст. 5231.</w:t>
      </w:r>
    </w:p>
    <w:p w14:paraId="5E2DBFA8" w14:textId="2C9DD44C" w:rsidR="002A4BAB" w:rsidRPr="00D40865" w:rsidRDefault="005F63D3" w:rsidP="005F63D3">
      <w:pPr>
        <w:spacing w:after="0" w:line="360" w:lineRule="auto"/>
        <w:ind w:left="709"/>
        <w:jc w:val="both"/>
        <w:rPr>
          <w:rFonts w:ascii="Times New Roman" w:hAnsi="Times New Roman" w:cs="Times New Roman"/>
          <w:sz w:val="28"/>
          <w:szCs w:val="28"/>
        </w:rPr>
      </w:pPr>
      <w:r w:rsidRPr="005F63D3">
        <w:rPr>
          <w:rFonts w:ascii="Times New Roman" w:hAnsi="Times New Roman" w:cs="Times New Roman"/>
          <w:sz w:val="28"/>
          <w:szCs w:val="28"/>
          <w:lang w:val="ru-RU"/>
        </w:rPr>
        <w:t>10.</w:t>
      </w:r>
      <w:r w:rsidRPr="005F63D3">
        <w:rPr>
          <w:rFonts w:ascii="Times New Roman" w:hAnsi="Times New Roman" w:cs="Times New Roman"/>
          <w:sz w:val="28"/>
          <w:szCs w:val="28"/>
          <w:lang w:val="ru-RU"/>
        </w:rPr>
        <w:tab/>
        <w:t xml:space="preserve">Федеральный закон от 04.03.2023 № 32-ФЗ "О внесении изменений в Уголовный кодекс Российской Федерации и статьи 31 и 150 Уголовно-процессуального кодекса Российской Федерации" // Собрание законодательства РФ. 2023. </w:t>
      </w:r>
      <w:r w:rsidRPr="005F63D3">
        <w:rPr>
          <w:rFonts w:ascii="Times New Roman" w:hAnsi="Times New Roman" w:cs="Times New Roman"/>
          <w:sz w:val="28"/>
          <w:szCs w:val="28"/>
        </w:rPr>
        <w:t>№ 10. Ст. 1394.</w:t>
      </w:r>
    </w:p>
    <w:sectPr w:rsidR="002A4BAB" w:rsidRPr="00D40865" w:rsidSect="00D40865">
      <w:footerReference w:type="even" r:id="rId7"/>
      <w:footerReference w:type="default" r:id="rId8"/>
      <w:pgSz w:w="12240" w:h="15840"/>
      <w:pgMar w:top="1134" w:right="1134" w:bottom="113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55A72" w14:textId="77777777" w:rsidR="00965743" w:rsidRDefault="00965743" w:rsidP="00FF1AEF">
      <w:pPr>
        <w:spacing w:after="0"/>
      </w:pPr>
      <w:r>
        <w:separator/>
      </w:r>
    </w:p>
  </w:endnote>
  <w:endnote w:type="continuationSeparator" w:id="0">
    <w:p w14:paraId="1D79FAC8" w14:textId="77777777" w:rsidR="00965743" w:rsidRDefault="00965743" w:rsidP="00FF1A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4"/>
      </w:rPr>
      <w:id w:val="-461110656"/>
      <w:docPartObj>
        <w:docPartGallery w:val="Page Numbers (Bottom of Page)"/>
        <w:docPartUnique/>
      </w:docPartObj>
    </w:sdtPr>
    <w:sdtContent>
      <w:p w14:paraId="63045E7B" w14:textId="36E1BB3F" w:rsidR="005F08D4" w:rsidRDefault="005F08D4" w:rsidP="005F08D4">
        <w:pPr>
          <w:pStyle w:val="af2"/>
          <w:framePr w:wrap="none" w:vAnchor="text" w:hAnchor="margin" w:xAlign="right" w:y="1"/>
          <w:rPr>
            <w:rStyle w:val="af4"/>
          </w:rPr>
        </w:pPr>
        <w:r>
          <w:rPr>
            <w:rStyle w:val="af4"/>
          </w:rPr>
          <w:fldChar w:fldCharType="begin"/>
        </w:r>
        <w:r>
          <w:rPr>
            <w:rStyle w:val="af4"/>
          </w:rPr>
          <w:instrText xml:space="preserve"> PAGE </w:instrText>
        </w:r>
        <w:r>
          <w:rPr>
            <w:rStyle w:val="af4"/>
          </w:rPr>
          <w:fldChar w:fldCharType="end"/>
        </w:r>
      </w:p>
    </w:sdtContent>
  </w:sdt>
  <w:p w14:paraId="705409AE" w14:textId="77777777" w:rsidR="005F08D4" w:rsidRDefault="005F08D4" w:rsidP="00FF1AEF">
    <w:pPr>
      <w:pStyle w:val="af2"/>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4"/>
      </w:rPr>
      <w:id w:val="-291825047"/>
      <w:docPartObj>
        <w:docPartGallery w:val="Page Numbers (Bottom of Page)"/>
        <w:docPartUnique/>
      </w:docPartObj>
    </w:sdtPr>
    <w:sdtContent>
      <w:p w14:paraId="20A1C980" w14:textId="75243E5F" w:rsidR="005F08D4" w:rsidRDefault="005F08D4" w:rsidP="005F08D4">
        <w:pPr>
          <w:pStyle w:val="af2"/>
          <w:framePr w:wrap="none" w:vAnchor="text" w:hAnchor="margin" w:xAlign="right" w:y="1"/>
          <w:rPr>
            <w:rStyle w:val="af4"/>
          </w:rPr>
        </w:pPr>
        <w:r>
          <w:rPr>
            <w:rStyle w:val="af4"/>
          </w:rPr>
          <w:fldChar w:fldCharType="begin"/>
        </w:r>
        <w:r>
          <w:rPr>
            <w:rStyle w:val="af4"/>
          </w:rPr>
          <w:instrText xml:space="preserve"> PAGE </w:instrText>
        </w:r>
        <w:r>
          <w:rPr>
            <w:rStyle w:val="af4"/>
          </w:rPr>
          <w:fldChar w:fldCharType="separate"/>
        </w:r>
        <w:r w:rsidR="007537CF">
          <w:rPr>
            <w:rStyle w:val="af4"/>
            <w:noProof/>
          </w:rPr>
          <w:t>17</w:t>
        </w:r>
        <w:r>
          <w:rPr>
            <w:rStyle w:val="af4"/>
          </w:rPr>
          <w:fldChar w:fldCharType="end"/>
        </w:r>
      </w:p>
    </w:sdtContent>
  </w:sdt>
  <w:p w14:paraId="4FE1B321" w14:textId="77777777" w:rsidR="005F08D4" w:rsidRDefault="005F08D4" w:rsidP="00FF1AEF">
    <w:pPr>
      <w:pStyle w:val="af2"/>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95684" w14:textId="77777777" w:rsidR="00965743" w:rsidRDefault="00965743" w:rsidP="00FF1AEF">
      <w:pPr>
        <w:spacing w:after="0"/>
      </w:pPr>
      <w:r>
        <w:separator/>
      </w:r>
    </w:p>
  </w:footnote>
  <w:footnote w:type="continuationSeparator" w:id="0">
    <w:p w14:paraId="29AA300E" w14:textId="77777777" w:rsidR="00965743" w:rsidRDefault="00965743" w:rsidP="00FF1AE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1"/>
    <w:multiLevelType w:val="multilevel"/>
    <w:tmpl w:val="DAFEEEF2"/>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00A99201"/>
    <w:multiLevelType w:val="multilevel"/>
    <w:tmpl w:val="F3080F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8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1"/>
  <w:stylePaneSortMethod w:val="0002"/>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C41EE7"/>
    <w:rsid w:val="000436E4"/>
    <w:rsid w:val="000A6B7E"/>
    <w:rsid w:val="002069BA"/>
    <w:rsid w:val="00250C85"/>
    <w:rsid w:val="002811B4"/>
    <w:rsid w:val="002A4BAB"/>
    <w:rsid w:val="00335B53"/>
    <w:rsid w:val="004505D5"/>
    <w:rsid w:val="005926EF"/>
    <w:rsid w:val="005A056E"/>
    <w:rsid w:val="005F08D4"/>
    <w:rsid w:val="005F63D3"/>
    <w:rsid w:val="0061129A"/>
    <w:rsid w:val="00654138"/>
    <w:rsid w:val="007537CF"/>
    <w:rsid w:val="007559E1"/>
    <w:rsid w:val="007803D7"/>
    <w:rsid w:val="008245C2"/>
    <w:rsid w:val="00827D8C"/>
    <w:rsid w:val="008E4D7E"/>
    <w:rsid w:val="009257D8"/>
    <w:rsid w:val="00965743"/>
    <w:rsid w:val="009E0377"/>
    <w:rsid w:val="00A23784"/>
    <w:rsid w:val="00BD4EC2"/>
    <w:rsid w:val="00BF5158"/>
    <w:rsid w:val="00C41EE7"/>
    <w:rsid w:val="00C46DD1"/>
    <w:rsid w:val="00C666BF"/>
    <w:rsid w:val="00D40865"/>
    <w:rsid w:val="00D80582"/>
    <w:rsid w:val="00D875FA"/>
    <w:rsid w:val="00DB137B"/>
    <w:rsid w:val="00E054EE"/>
    <w:rsid w:val="00E05716"/>
    <w:rsid w:val="00EB5976"/>
    <w:rsid w:val="00FF1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1905A"/>
  <w15:docId w15:val="{8735B6BA-C0FB-4949-B1B4-F9C43D66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6EF"/>
  </w:style>
  <w:style w:type="paragraph" w:styleId="1">
    <w:name w:val="heading 1"/>
    <w:basedOn w:val="a"/>
    <w:next w:val="a0"/>
    <w:link w:val="10"/>
    <w:uiPriority w:val="9"/>
    <w:qFormat/>
    <w:rsid w:val="0061129A"/>
    <w:pPr>
      <w:keepNext/>
      <w:keepLines/>
      <w:spacing w:before="360" w:after="80"/>
      <w:outlineLvl w:val="0"/>
    </w:pPr>
    <w:rPr>
      <w:rFonts w:ascii="Times New Roman" w:eastAsiaTheme="majorEastAsia" w:hAnsi="Times New Roman" w:cstheme="majorBidi"/>
      <w:color w:val="0F4761" w:themeColor="accent1" w:themeShade="BF"/>
      <w:sz w:val="40"/>
      <w:szCs w:val="40"/>
    </w:rPr>
  </w:style>
  <w:style w:type="paragraph" w:styleId="2">
    <w:name w:val="heading 2"/>
    <w:basedOn w:val="a"/>
    <w:next w:val="a0"/>
    <w:link w:val="20"/>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0"/>
    <w:link w:val="30"/>
    <w:uiPriority w:val="9"/>
    <w:semiHidden/>
    <w:unhideWhenUsed/>
    <w:qFormat/>
    <w:rsid w:val="0061129A"/>
    <w:pPr>
      <w:keepNext/>
      <w:keepLines/>
      <w:spacing w:before="160" w:after="80"/>
      <w:outlineLvl w:val="2"/>
    </w:pPr>
    <w:rPr>
      <w:rFonts w:ascii="Times New Roman" w:eastAsiaTheme="majorEastAsia" w:hAnsi="Times New Roman" w:cstheme="majorBidi"/>
      <w:color w:val="0F4761" w:themeColor="accent1" w:themeShade="BF"/>
      <w:sz w:val="28"/>
      <w:szCs w:val="28"/>
    </w:rPr>
  </w:style>
  <w:style w:type="paragraph" w:styleId="4">
    <w:name w:val="heading 4"/>
    <w:basedOn w:val="a"/>
    <w:next w:val="a0"/>
    <w:link w:val="40"/>
    <w:uiPriority w:val="9"/>
    <w:semiHidden/>
    <w:unhideWhenUsed/>
    <w:qFormat/>
    <w:rsid w:val="0061129A"/>
    <w:pPr>
      <w:keepNext/>
      <w:keepLines/>
      <w:spacing w:before="80" w:after="40"/>
      <w:outlineLvl w:val="3"/>
    </w:pPr>
    <w:rPr>
      <w:rFonts w:ascii="Times New Roman" w:eastAsiaTheme="majorEastAsia" w:hAnsi="Times New Roman" w:cstheme="majorBidi"/>
      <w:i/>
      <w:iCs/>
      <w:color w:val="0F4761" w:themeColor="accent1" w:themeShade="BF"/>
    </w:rPr>
  </w:style>
  <w:style w:type="paragraph" w:styleId="5">
    <w:name w:val="heading 5"/>
    <w:basedOn w:val="a"/>
    <w:next w:val="a0"/>
    <w:link w:val="50"/>
    <w:uiPriority w:val="9"/>
    <w:semiHidden/>
    <w:unhideWhenUsed/>
    <w:qFormat/>
    <w:rsid w:val="0061129A"/>
    <w:pPr>
      <w:keepNext/>
      <w:keepLines/>
      <w:spacing w:before="80" w:after="40"/>
      <w:outlineLvl w:val="4"/>
    </w:pPr>
    <w:rPr>
      <w:rFonts w:ascii="Times New Roman" w:eastAsiaTheme="majorEastAsia" w:hAnsi="Times New Roman" w:cstheme="majorBidi"/>
      <w:color w:val="0F4761" w:themeColor="accent1" w:themeShade="BF"/>
    </w:rPr>
  </w:style>
  <w:style w:type="paragraph" w:styleId="6">
    <w:name w:val="heading 6"/>
    <w:basedOn w:val="a"/>
    <w:next w:val="a0"/>
    <w:link w:val="60"/>
    <w:uiPriority w:val="9"/>
    <w:semiHidden/>
    <w:unhideWhenUsed/>
    <w:qFormat/>
    <w:rsid w:val="0061129A"/>
    <w:pPr>
      <w:keepNext/>
      <w:keepLines/>
      <w:spacing w:before="40" w:after="0"/>
      <w:outlineLvl w:val="5"/>
    </w:pPr>
    <w:rPr>
      <w:rFonts w:ascii="Times New Roman" w:eastAsiaTheme="majorEastAsia" w:hAnsi="Times New Roman" w:cstheme="majorBidi"/>
      <w:i/>
      <w:iCs/>
      <w:color w:val="595959" w:themeColor="text1" w:themeTint="A6"/>
    </w:rPr>
  </w:style>
  <w:style w:type="paragraph" w:styleId="7">
    <w:name w:val="heading 7"/>
    <w:basedOn w:val="a"/>
    <w:next w:val="a0"/>
    <w:link w:val="70"/>
    <w:uiPriority w:val="9"/>
    <w:semiHidden/>
    <w:unhideWhenUsed/>
    <w:qFormat/>
    <w:rsid w:val="0061129A"/>
    <w:pPr>
      <w:keepNext/>
      <w:keepLines/>
      <w:spacing w:before="40" w:after="0"/>
      <w:outlineLvl w:val="6"/>
    </w:pPr>
    <w:rPr>
      <w:rFonts w:ascii="Times New Roman" w:eastAsiaTheme="majorEastAsia" w:hAnsi="Times New Roman" w:cstheme="majorBidi"/>
      <w:color w:val="595959" w:themeColor="text1" w:themeTint="A6"/>
    </w:rPr>
  </w:style>
  <w:style w:type="paragraph" w:styleId="8">
    <w:name w:val="heading 8"/>
    <w:basedOn w:val="a"/>
    <w:next w:val="a0"/>
    <w:link w:val="80"/>
    <w:uiPriority w:val="9"/>
    <w:semiHidden/>
    <w:unhideWhenUsed/>
    <w:qFormat/>
    <w:rsid w:val="0061129A"/>
    <w:pPr>
      <w:keepNext/>
      <w:keepLines/>
      <w:spacing w:after="0"/>
      <w:outlineLvl w:val="7"/>
    </w:pPr>
    <w:rPr>
      <w:rFonts w:ascii="Times New Roman" w:eastAsiaTheme="majorEastAsia" w:hAnsi="Times New Roman" w:cstheme="majorBidi"/>
      <w:i/>
      <w:iCs/>
      <w:color w:val="272727" w:themeColor="text1" w:themeTint="D8"/>
    </w:rPr>
  </w:style>
  <w:style w:type="paragraph" w:styleId="9">
    <w:name w:val="heading 9"/>
    <w:basedOn w:val="a"/>
    <w:next w:val="a0"/>
    <w:link w:val="90"/>
    <w:uiPriority w:val="9"/>
    <w:semiHidden/>
    <w:unhideWhenUsed/>
    <w:qFormat/>
    <w:rsid w:val="0061129A"/>
    <w:pPr>
      <w:keepNext/>
      <w:keepLines/>
      <w:spacing w:after="0"/>
      <w:outlineLvl w:val="8"/>
    </w:pPr>
    <w:rPr>
      <w:rFonts w:ascii="Times New Roman" w:eastAsiaTheme="majorEastAsia" w:hAnsi="Times New Roman" w:cstheme="majorBidi"/>
      <w:color w:val="272727" w:themeColor="text1" w:themeTint="D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D80582"/>
    <w:pPr>
      <w:spacing w:before="180" w:after="180"/>
    </w:pPr>
    <w:rPr>
      <w:rFonts w:ascii="Times New Roman" w:hAnsi="Times New Roman"/>
    </w:r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5">
    <w:name w:val="Title"/>
    <w:basedOn w:val="a"/>
    <w:next w:val="a0"/>
    <w:link w:val="a6"/>
    <w:uiPriority w:val="10"/>
    <w:qFormat/>
    <w:rsid w:val="00E054EE"/>
    <w:pPr>
      <w:spacing w:after="80"/>
      <w:contextualSpacing/>
      <w:jc w:val="center"/>
    </w:pPr>
    <w:rPr>
      <w:rFonts w:ascii="Times New Roman" w:eastAsiaTheme="majorEastAsia" w:hAnsi="Times New Roman" w:cstheme="majorBidi"/>
      <w:spacing w:val="-10"/>
      <w:kern w:val="28"/>
      <w:sz w:val="56"/>
      <w:szCs w:val="56"/>
    </w:rPr>
  </w:style>
  <w:style w:type="character" w:customStyle="1" w:styleId="a6">
    <w:name w:val="Заголовок Знак"/>
    <w:basedOn w:val="a1"/>
    <w:link w:val="a5"/>
    <w:uiPriority w:val="10"/>
    <w:rsid w:val="00E054EE"/>
    <w:rPr>
      <w:rFonts w:ascii="Times New Roman" w:eastAsiaTheme="majorEastAsia" w:hAnsi="Times New Roman" w:cstheme="majorBidi"/>
      <w:spacing w:val="-10"/>
      <w:kern w:val="28"/>
      <w:sz w:val="56"/>
      <w:szCs w:val="56"/>
    </w:rPr>
  </w:style>
  <w:style w:type="paragraph" w:styleId="a7">
    <w:name w:val="Subtitle"/>
    <w:basedOn w:val="a5"/>
    <w:next w:val="a0"/>
    <w:link w:val="a8"/>
    <w:uiPriority w:val="11"/>
    <w:qFormat/>
    <w:rsid w:val="00A10FD9"/>
    <w:pPr>
      <w:numPr>
        <w:ilvl w:val="1"/>
      </w:numPr>
    </w:pPr>
    <w:rPr>
      <w:spacing w:val="15"/>
      <w:sz w:val="28"/>
      <w:szCs w:val="28"/>
    </w:rPr>
  </w:style>
  <w:style w:type="character" w:customStyle="1" w:styleId="a8">
    <w:name w:val="Подзаголовок Знак"/>
    <w:basedOn w:val="a1"/>
    <w:link w:val="a7"/>
    <w:uiPriority w:val="11"/>
    <w:rsid w:val="00A10FD9"/>
    <w:rPr>
      <w:rFonts w:eastAsiaTheme="majorEastAsia" w:cstheme="majorBidi"/>
      <w:color w:val="595959" w:themeColor="text1" w:themeTint="A6"/>
      <w:spacing w:val="15"/>
      <w:sz w:val="28"/>
      <w:szCs w:val="28"/>
    </w:rPr>
  </w:style>
  <w:style w:type="paragraph" w:customStyle="1" w:styleId="Author">
    <w:name w:val="Author"/>
    <w:next w:val="a0"/>
    <w:autoRedefine/>
    <w:qFormat/>
    <w:rsid w:val="00E05716"/>
    <w:pPr>
      <w:keepNext/>
      <w:keepLines/>
      <w:jc w:val="center"/>
    </w:pPr>
    <w:rPr>
      <w:rFonts w:ascii="Times New Roman" w:hAnsi="Times New Roman"/>
    </w:rPr>
  </w:style>
  <w:style w:type="paragraph" w:styleId="a9">
    <w:name w:val="Date"/>
    <w:next w:val="a0"/>
    <w:qFormat/>
    <w:rsid w:val="0061129A"/>
    <w:pPr>
      <w:keepNext/>
      <w:keepLines/>
      <w:jc w:val="center"/>
    </w:pPr>
    <w:rPr>
      <w:rFonts w:ascii="Times New Roman" w:hAnsi="Times New Roman"/>
    </w:rPr>
  </w:style>
  <w:style w:type="paragraph" w:customStyle="1" w:styleId="AbstractTitle">
    <w:name w:val="Abstract Title"/>
    <w:basedOn w:val="a"/>
    <w:next w:val="Abstract"/>
    <w:qFormat/>
    <w:pPr>
      <w:keepNext/>
      <w:keepLines/>
      <w:spacing w:before="300" w:after="0"/>
      <w:jc w:val="center"/>
    </w:pPr>
    <w:rPr>
      <w:b/>
      <w:sz w:val="20"/>
      <w:szCs w:val="20"/>
    </w:rPr>
  </w:style>
  <w:style w:type="paragraph" w:customStyle="1" w:styleId="Abstract">
    <w:name w:val="Abstract"/>
    <w:basedOn w:val="a"/>
    <w:next w:val="a0"/>
    <w:qFormat/>
    <w:rsid w:val="0061129A"/>
    <w:pPr>
      <w:keepNext/>
      <w:keepLines/>
      <w:spacing w:before="100" w:after="300"/>
    </w:pPr>
    <w:rPr>
      <w:rFonts w:ascii="Times New Roman" w:hAnsi="Times New Roman"/>
      <w:sz w:val="20"/>
      <w:szCs w:val="20"/>
    </w:rPr>
  </w:style>
  <w:style w:type="paragraph" w:styleId="aa">
    <w:name w:val="Bibliography"/>
    <w:basedOn w:val="a"/>
    <w:qFormat/>
  </w:style>
  <w:style w:type="character" w:customStyle="1" w:styleId="10">
    <w:name w:val="Заголовок 1 Знак"/>
    <w:basedOn w:val="a1"/>
    <w:link w:val="1"/>
    <w:uiPriority w:val="9"/>
    <w:rsid w:val="0061129A"/>
    <w:rPr>
      <w:rFonts w:ascii="Times New Roman" w:eastAsiaTheme="majorEastAsia" w:hAnsi="Times New Roman" w:cstheme="majorBidi"/>
      <w:color w:val="0F4761" w:themeColor="accent1" w:themeShade="BF"/>
      <w:sz w:val="40"/>
      <w:szCs w:val="40"/>
    </w:rPr>
  </w:style>
  <w:style w:type="character" w:customStyle="1" w:styleId="20">
    <w:name w:val="Заголовок 2 Знак"/>
    <w:basedOn w:val="a1"/>
    <w:link w:val="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1"/>
    <w:link w:val="3"/>
    <w:uiPriority w:val="9"/>
    <w:semiHidden/>
    <w:rsid w:val="0061129A"/>
    <w:rPr>
      <w:rFonts w:ascii="Times New Roman" w:eastAsiaTheme="majorEastAsia" w:hAnsi="Times New Roman" w:cstheme="majorBidi"/>
      <w:color w:val="0F4761" w:themeColor="accent1" w:themeShade="BF"/>
      <w:sz w:val="28"/>
      <w:szCs w:val="28"/>
    </w:rPr>
  </w:style>
  <w:style w:type="character" w:customStyle="1" w:styleId="40">
    <w:name w:val="Заголовок 4 Знак"/>
    <w:basedOn w:val="a1"/>
    <w:link w:val="4"/>
    <w:uiPriority w:val="9"/>
    <w:semiHidden/>
    <w:rsid w:val="0061129A"/>
    <w:rPr>
      <w:rFonts w:ascii="Times New Roman" w:eastAsiaTheme="majorEastAsia" w:hAnsi="Times New Roman" w:cstheme="majorBidi"/>
      <w:i/>
      <w:iCs/>
      <w:color w:val="0F4761" w:themeColor="accent1" w:themeShade="BF"/>
    </w:rPr>
  </w:style>
  <w:style w:type="character" w:customStyle="1" w:styleId="50">
    <w:name w:val="Заголовок 5 Знак"/>
    <w:basedOn w:val="a1"/>
    <w:link w:val="5"/>
    <w:uiPriority w:val="9"/>
    <w:semiHidden/>
    <w:rsid w:val="0061129A"/>
    <w:rPr>
      <w:rFonts w:ascii="Times New Roman" w:eastAsiaTheme="majorEastAsia" w:hAnsi="Times New Roman" w:cstheme="majorBidi"/>
      <w:color w:val="0F4761" w:themeColor="accent1" w:themeShade="BF"/>
    </w:rPr>
  </w:style>
  <w:style w:type="character" w:customStyle="1" w:styleId="60">
    <w:name w:val="Заголовок 6 Знак"/>
    <w:basedOn w:val="a1"/>
    <w:link w:val="6"/>
    <w:uiPriority w:val="9"/>
    <w:semiHidden/>
    <w:rsid w:val="0061129A"/>
    <w:rPr>
      <w:rFonts w:ascii="Times New Roman" w:eastAsiaTheme="majorEastAsia" w:hAnsi="Times New Roman" w:cstheme="majorBidi"/>
      <w:i/>
      <w:iCs/>
      <w:color w:val="595959" w:themeColor="text1" w:themeTint="A6"/>
    </w:rPr>
  </w:style>
  <w:style w:type="character" w:customStyle="1" w:styleId="70">
    <w:name w:val="Заголовок 7 Знак"/>
    <w:basedOn w:val="a1"/>
    <w:link w:val="7"/>
    <w:uiPriority w:val="9"/>
    <w:semiHidden/>
    <w:rsid w:val="0061129A"/>
    <w:rPr>
      <w:rFonts w:ascii="Times New Roman" w:eastAsiaTheme="majorEastAsia" w:hAnsi="Times New Roman" w:cstheme="majorBidi"/>
      <w:color w:val="595959" w:themeColor="text1" w:themeTint="A6"/>
    </w:rPr>
  </w:style>
  <w:style w:type="character" w:customStyle="1" w:styleId="80">
    <w:name w:val="Заголовок 8 Знак"/>
    <w:basedOn w:val="a1"/>
    <w:link w:val="8"/>
    <w:uiPriority w:val="9"/>
    <w:semiHidden/>
    <w:rsid w:val="0061129A"/>
    <w:rPr>
      <w:rFonts w:ascii="Times New Roman" w:eastAsiaTheme="majorEastAsia" w:hAnsi="Times New Roman" w:cstheme="majorBidi"/>
      <w:i/>
      <w:iCs/>
      <w:color w:val="272727" w:themeColor="text1" w:themeTint="D8"/>
    </w:rPr>
  </w:style>
  <w:style w:type="character" w:customStyle="1" w:styleId="90">
    <w:name w:val="Заголовок 9 Знак"/>
    <w:basedOn w:val="a1"/>
    <w:link w:val="9"/>
    <w:uiPriority w:val="9"/>
    <w:semiHidden/>
    <w:rsid w:val="0061129A"/>
    <w:rPr>
      <w:rFonts w:ascii="Times New Roman" w:eastAsiaTheme="majorEastAsia" w:hAnsi="Times New Roman" w:cstheme="majorBidi"/>
      <w:color w:val="272727" w:themeColor="text1" w:themeTint="D8"/>
    </w:rPr>
  </w:style>
  <w:style w:type="paragraph" w:styleId="ab">
    <w:name w:val="Block Text"/>
    <w:basedOn w:val="a0"/>
    <w:next w:val="a0"/>
    <w:uiPriority w:val="9"/>
    <w:unhideWhenUsed/>
    <w:qFormat/>
    <w:pPr>
      <w:spacing w:before="100" w:after="100"/>
      <w:ind w:left="480" w:right="480"/>
    </w:pPr>
  </w:style>
  <w:style w:type="paragraph" w:styleId="ac">
    <w:name w:val="footnote text"/>
    <w:basedOn w:val="a"/>
    <w:uiPriority w:val="9"/>
    <w:unhideWhenUsed/>
    <w:qFormat/>
    <w:rsid w:val="002069BA"/>
    <w:rPr>
      <w:rFonts w:ascii="Times New Roman" w:hAnsi="Times New Roman"/>
    </w:rPr>
  </w:style>
  <w:style w:type="paragraph" w:customStyle="1" w:styleId="FootnoteBlockText">
    <w:name w:val="Footnote Block Text"/>
    <w:basedOn w:val="ac"/>
    <w:next w:val="ac"/>
    <w:uiPriority w:val="9"/>
    <w:unhideWhenUsed/>
    <w:qFormat/>
    <w:pPr>
      <w:spacing w:before="100" w:after="100"/>
      <w:ind w:left="480" w:right="480"/>
    </w:pPr>
  </w:style>
  <w:style w:type="table" w:customStyle="1" w:styleId="Table">
    <w:name w:val="Table"/>
    <w:semiHidden/>
    <w:unhideWhenUsed/>
    <w:qFormat/>
    <w:rsid w:val="00C46D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a"/>
    <w:next w:val="Definition"/>
    <w:rsid w:val="002069BA"/>
    <w:pPr>
      <w:keepNext/>
      <w:keepLines/>
      <w:spacing w:after="0"/>
    </w:pPr>
    <w:rPr>
      <w:rFonts w:ascii="Times New Roman" w:hAnsi="Times New Roman"/>
      <w:b/>
    </w:rPr>
  </w:style>
  <w:style w:type="paragraph" w:customStyle="1" w:styleId="Definition">
    <w:name w:val="Definition"/>
    <w:basedOn w:val="a"/>
    <w:rsid w:val="002069BA"/>
    <w:rPr>
      <w:rFonts w:ascii="Times New Roman" w:hAnsi="Times New Roman"/>
    </w:rPr>
  </w:style>
  <w:style w:type="paragraph" w:styleId="ad">
    <w:name w:val="caption"/>
    <w:basedOn w:val="a"/>
    <w:link w:val="ae"/>
    <w:pPr>
      <w:spacing w:after="120"/>
    </w:pPr>
    <w:rPr>
      <w:i/>
    </w:rPr>
  </w:style>
  <w:style w:type="paragraph" w:customStyle="1" w:styleId="TableCaption">
    <w:name w:val="Table Caption"/>
    <w:basedOn w:val="ad"/>
    <w:pPr>
      <w:keepNext/>
    </w:pPr>
  </w:style>
  <w:style w:type="paragraph" w:customStyle="1" w:styleId="ImageCaption">
    <w:name w:val="Image Caption"/>
    <w:basedOn w:val="ad"/>
    <w:rsid w:val="002069BA"/>
    <w:rPr>
      <w:rFonts w:ascii="Times New Roman" w:hAnsi="Times New Roman"/>
    </w:rPr>
  </w:style>
  <w:style w:type="paragraph" w:customStyle="1" w:styleId="Figure">
    <w:name w:val="Figure"/>
    <w:basedOn w:val="a"/>
  </w:style>
  <w:style w:type="paragraph" w:customStyle="1" w:styleId="CaptionedFigure">
    <w:name w:val="Captioned Figure"/>
    <w:basedOn w:val="Figure"/>
    <w:pPr>
      <w:keepNext/>
    </w:pPr>
  </w:style>
  <w:style w:type="character" w:customStyle="1" w:styleId="ae">
    <w:name w:val="Название объекта Знак"/>
    <w:basedOn w:val="a1"/>
    <w:link w:val="ad"/>
  </w:style>
  <w:style w:type="character" w:customStyle="1" w:styleId="VerbatimChar">
    <w:name w:val="Verbatim Char"/>
    <w:basedOn w:val="ae"/>
    <w:rPr>
      <w:rFonts w:ascii="Consolas" w:hAnsi="Consolas"/>
      <w:sz w:val="22"/>
    </w:rPr>
  </w:style>
  <w:style w:type="character" w:customStyle="1" w:styleId="SectionNumber">
    <w:name w:val="Section Number"/>
    <w:basedOn w:val="ae"/>
  </w:style>
  <w:style w:type="character" w:styleId="af">
    <w:name w:val="footnote reference"/>
    <w:basedOn w:val="ae"/>
    <w:rPr>
      <w:vertAlign w:val="superscript"/>
    </w:rPr>
  </w:style>
  <w:style w:type="character" w:styleId="af0">
    <w:name w:val="Hyperlink"/>
    <w:basedOn w:val="ae"/>
    <w:rPr>
      <w:color w:val="156082" w:themeColor="accent1"/>
    </w:rPr>
  </w:style>
  <w:style w:type="paragraph" w:styleId="af1">
    <w:name w:val="TOC Heading"/>
    <w:basedOn w:val="1"/>
    <w:next w:val="a0"/>
    <w:uiPriority w:val="39"/>
    <w:unhideWhenUsed/>
    <w:qFormat/>
    <w:pPr>
      <w:spacing w:before="240" w:line="259" w:lineRule="auto"/>
      <w:outlineLvl w:val="9"/>
    </w:pPr>
  </w:style>
  <w:style w:type="character" w:customStyle="1" w:styleId="a4">
    <w:name w:val="Основной текст Знак"/>
    <w:basedOn w:val="a1"/>
    <w:link w:val="a0"/>
    <w:rsid w:val="005926EF"/>
    <w:rPr>
      <w:rFonts w:ascii="Times New Roman" w:hAnsi="Times New Roman"/>
    </w:rPr>
  </w:style>
  <w:style w:type="paragraph" w:customStyle="1" w:styleId="StyleHeading2TimesNewRoman">
    <w:name w:val="Style Heading 2 + Times New Roman"/>
    <w:basedOn w:val="2"/>
    <w:rsid w:val="0061129A"/>
    <w:rPr>
      <w:rFonts w:ascii="Times New Roman" w:hAnsi="Times New Roman"/>
    </w:rPr>
  </w:style>
  <w:style w:type="paragraph" w:styleId="af2">
    <w:name w:val="footer"/>
    <w:basedOn w:val="a"/>
    <w:link w:val="af3"/>
    <w:rsid w:val="00FF1AEF"/>
    <w:pPr>
      <w:tabs>
        <w:tab w:val="center" w:pos="4677"/>
        <w:tab w:val="right" w:pos="9355"/>
      </w:tabs>
      <w:spacing w:after="0"/>
    </w:pPr>
  </w:style>
  <w:style w:type="character" w:customStyle="1" w:styleId="af3">
    <w:name w:val="Нижний колонтитул Знак"/>
    <w:basedOn w:val="a1"/>
    <w:link w:val="af2"/>
    <w:rsid w:val="00FF1AEF"/>
  </w:style>
  <w:style w:type="character" w:styleId="af4">
    <w:name w:val="page number"/>
    <w:basedOn w:val="a1"/>
    <w:rsid w:val="00FF1A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129</TotalTime>
  <Pages>17</Pages>
  <Words>4384</Words>
  <Characters>24993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пк</cp:lastModifiedBy>
  <cp:revision>10</cp:revision>
  <dcterms:created xsi:type="dcterms:W3CDTF">1970-01-01T00:00:00Z</dcterms:created>
  <dcterms:modified xsi:type="dcterms:W3CDTF">2025-06-25T18:47:00Z</dcterms:modified>
</cp:coreProperties>
</file>