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Heading1"/>
      </w:pPr>
      <w:r>
        <w:t xml:space="preserve">Содержание</w:t>
      </w:r>
    </w:p>
    <w:sdt>
      <w:sdtPr>
        <w:alias w:val="Содержание документа"/>
      </w:sdtPr>
      <w:sdtContent>
        <w:p>
          <w:r>
            <w:fldChar w:fldCharType="begin" w:dirty="true"/>
            <w:instrText xml:space="preserve">TOC \h \o "1-5"</w:instrText>
            <w:fldChar w:fldCharType="separate"/>
          </w:r>
        </w:p>
        <w:p>
          <w:r>
            <w:fldChar w:fldCharType="end"/>
          </w:r>
        </w:p>
      </w:sdtContent>
    </w:sdt>
    <w:p>
      <w:pPr>
        <w:sectPr>
          <w:pgSz w:w="11906" w:h="16838" w:orient="portrait"/>
          <w:pgMar w:top="1440" w:right="1440" w:bottom="1440" w:left="1440" w:header="708" w:footer="708" w:gutter="0"/>
          <w:pgNumType/>
          <w:docGrid w:linePitch="360"/>
        </w:sectPr>
      </w:pPr>
    </w:p>
    <w:p>
      <w:pPr>
        <w:pStyle w:val="Heading1"/>
      </w:pPr>
      <w:r>
        <w:t xml:space="preserve">Введение</w:t>
      </w:r>
    </w:p>
    <w:p>
      <w:pPr>
        <w:pStyle w:val="Heading2"/>
      </w:pPr>
      <w:r>
        <w:t xml:space="preserve">Анонтация</w:t>
      </w:r>
    </w:p>
    <w:p>
      <w:pPr>
        <w:spacing w:line="350"/>
      </w:pPr>
      <w:r>
        <w:t xml:space="preserve">В современном правоведении важную роль играет разграничение частного и публичного права, которые являются основополагающими категориями правовой системы большинства государств. Эти два подхода к праворегулированию отличаются по своим целям, методам, а также по отношениям между субъектами права. Частное право предполагает защиту частных интересов граждан и юридических лиц, тогда как публичное право ориентировано на интересы общества в целом и деятельности органов государственной власти.</w:t>
      </w:r>
      <w:r>
        <w:br/>
      </w:r>
      <w:r>
        <w:br/>
      </w:r>
      <w:r>
        <w:t xml:space="preserve">Частное право включает в себя такие отрасли, как гражданское право, семейное и торговое право, которые регулируют отношения между индивидами или частными организациями. В данном контексте главной целью частного права является обеспечение свободы действий субъектов в целях защиты их частных интересов. Оно закрепляет правовые механизмы, позволяющие участникам правовых отношений свободно устанавливать свои права и обязанности, защищая их в случае возникновения споров.[1]</w:t>
      </w:r>
      <w:r>
        <w:br/>
      </w:r>
      <w:r>
        <w:br/>
      </w:r>
      <w:r>
        <w:t xml:space="preserve">С другой стороны, публичное право охватывает различные сферы, включая административное, уголовное и конституционное право. Эти отрасли выражают интересы государства и регулируют порядок осуществления властных полномочий, а также защиту прав граждан в отношениях с государственными структурами. В отличие от частного права, которое предполагает равенство сторон, публичное право характеризуется иерархичностью, где государственные органы имеют преимущество и выполняют функцию охраны общественного порядка и справедливости.</w:t>
      </w:r>
      <w:r>
        <w:br/>
      </w:r>
      <w:r>
        <w:br/>
      </w:r>
      <w:r>
        <w:t xml:space="preserve">Несмотря на различия, частное и публичное право не существуют в вакууме. Их взаимосвязь и взаимодействие становятся особенно очевидными в сложных правовых ситуациях, где интересы частных лиц могут пересекаться с интересами государства. Например, в случаях, когда частные отношения имеют общественно важное значение или затрагивают интересы большой группы людей, публичное право вступает в действие, ограничивая или регулируя частные интересы.[9]</w:t>
      </w:r>
      <w:r>
        <w:br/>
      </w:r>
      <w:r>
        <w:br/>
      </w:r>
      <w:r>
        <w:t xml:space="preserve">Таким образом, понимание различий и взаимодействия между частным и публичным правом существенно для адекватного восприятия правовой системы в целом, а также для эффективного применения правовых норм в практике. Данная работа направлена на детальное исследование этих отношений, анализ их взаимосвязей и выявление ключевых аспектов, без которых невозможно полноценное функционирование правового поля в государстве.</w:t>
      </w:r>
    </w:p>
    <w:p>
      <w:pPr>
        <w:pStyle w:val="Heading1"/>
      </w:pPr>
      <w:r>
        <w:t xml:space="preserve">Материалы и методы исследования, результаты и обсуждение</w:t>
      </w:r>
    </w:p>
    <w:p>
      <w:pPr>
        <w:pStyle w:val="Heading2"/>
      </w:pPr>
      <w:r>
        <w:t xml:space="preserve">Материалы и методы исследования</w:t>
      </w:r>
    </w:p>
    <w:p>
      <w:pPr>
        <w:spacing w:line="350"/>
      </w:pPr>
      <w:r>
        <w:t xml:space="preserve">Для проведения исследования по теме "Частное и публичное право" был выполнен обширный обзор существующих нормативно-правовых актов, судебных решений, а также научных статей и исследований, которые освещают ключевые аспекты и разногласия в этих областях права.</w:t>
      </w:r>
      <w:r>
        <w:br/>
      </w:r>
      <w:r>
        <w:br/>
      </w:r>
      <w:r>
        <w:t xml:space="preserve">В качестве основного источника информации были использованы актуальные законы и кодексы, регулирующие частные и публичные правоотношения. Основные нормативные акты, такие как Гражданский кодекс, Уголовный кодекс и Кодекс административного судопроизводства, стали отправной точкой для анализа. Эти документы определяют основы частного и публичного права, закрепляют права и обязанности субъектов, устанавливают порядок и способы их защиты. При этом важно отметить, что значение данных актов выходит за рамки глубокой юридической техники; они являются инструментом, формирующим правосознание общества и определяющим границы и правила взаимодействия его членов.[10]</w:t>
      </w:r>
      <w:r>
        <w:br/>
      </w:r>
      <w:r>
        <w:br/>
      </w:r>
      <w:r>
        <w:t xml:space="preserve">Дополнительно исследование опиралось на изучение судебной практики, которая представляет собой важный элемент в толковании и применении норм права. Анализ судебных решений, касающихся споров между частными лицами и государства, а также дел, связанных с применением частного и публичного права, позволил выявить практические проблемы, с которыми сталкиваются правоприменители. Судебные акты служат не только источником права, но и отражают динамику развития юридических концепций, связанных с частным и публичным правом, что помогает в более глубоком понимании этих категорий.[5]</w:t>
      </w:r>
      <w:r>
        <w:br/>
      </w:r>
      <w:r>
        <w:br/>
      </w:r>
      <w:r>
        <w:t xml:space="preserve">Научные исследования и статьи, опубликованные в специализированных изданиях, стали важным аспектом работы. Эти материалы позволяют оценить текущие тенденции и теории как в сфере частного, так и публичного права. Публикации авторитетных экспертов, юристов-практиков и ученых, осветивших множество аспектов частного и публичного права, дают возможность выработать собственное мнение и позицию.</w:t>
      </w:r>
      <w:r>
        <w:br/>
      </w:r>
      <w:r>
        <w:br/>
      </w:r>
      <w:r>
        <w:t xml:space="preserve">В результате исследования была использована комплексная методология, включающая системный анализ, сравнительное правоведение и интерпретацию норм права. Метод сравнительного анализа позволил выделить ключевые различия между частным и публичным правом в различных юрисдикциях, а системный подход помог упорядочить полученные данные и представить их как единое целое. Таким образом, использование разнообразных источников и методов исследования обеспечило всесторонний и глубинный анализ понятий частного и публичного права, их взаимодействий и роли в правовой системе.</w:t>
      </w:r>
    </w:p>
    <w:p>
      <w:pPr>
        <w:pStyle w:val="Heading2"/>
      </w:pPr>
      <w:r>
        <w:t xml:space="preserve">Результаты и обсуждение</w:t>
      </w:r>
    </w:p>
    <w:p>
      <w:pPr>
        <w:spacing w:line="350"/>
      </w:pPr>
      <w:r>
        <w:t xml:space="preserve">В ходе анализа частного и публичного права выявлены основные отличительные характеристики, которые детализируют их сущности и функции в правовой системе. Частное право, как правило, фокусируется на отношениях между индивидуальными субъектами, регулируя их действия через нормы, направленные на защиту и обеспечение частных интересов. Важно отметить, что в рамках частного права преобладает принцип равенства сторон, что позволяет участникам свободно определять условия своих прав и обязательств. Примером применения норм частного права может служить договорное регулирование, где стороны сделки самостоятельно определяют условия контракта, а суды лишь обеспечивают исполнение этих условий в случае споров.[28]</w:t>
      </w:r>
      <w:r>
        <w:br/>
      </w:r>
      <w:r>
        <w:br/>
      </w:r>
      <w:r>
        <w:t xml:space="preserve">С другой стороны, публичное право характеризует отношения, в которых государственные органы выступают односторонними арбитрами, защищая общественные интересы. В этой области права большое значение имеет вопрос о легитимности власти и правомерности её действий, что видно из норм административного и уголовного права. Например, в делах об административных нарушениях государственные органы представляют интересы общества, обеспечивая порядок и безопасность, что подразумевает ограничение прав отдельных граждан в интересах общественного блага.</w:t>
      </w:r>
      <w:r>
        <w:br/>
      </w:r>
      <w:r>
        <w:br/>
      </w:r>
      <w:r>
        <w:t xml:space="preserve">Для наглядного понимания различий в применении частного и публичного права можно рассмотреть конкретные ситуации. В случае, когда гражданин подает иск о восстановлении нарушенного права (например, о возврате долга), он действует в рамках частного права, тем самым отстаивая свои индивидуальные интересы. Напротив, если вопрос касается уголовной ответственности за преступление, то здесь главным становится интерес государства в защите правопорядка, что подразумевает активное участие государственных структур в процессе.[1]</w:t>
      </w:r>
      <w:r>
        <w:br/>
      </w:r>
      <w:r>
        <w:br/>
      </w:r>
      <w:r>
        <w:t xml:space="preserve">Обсуждение этих различий становится особенно актуальным в контексте их влияния на правовые отношения и систему правосудия в целом. Правовая система обязывает суды действовать как в интересах граждан, так и в интересах государства, что создает необходимость балансировки между частными и публичными интересами. Важно отметить, что в некоторых случаях частное и публичное право могут пересекаться, создавая комплексные правовые ситуации, требующие детализированного анализа и правоприменения согласно имеющимся нормам. Например, случаи, касающиеся нарушения прав потребителей, могут одновременно регулироваться как нормами частного, так и публичного права, поскольку интересы как отдельного гражданина, так и общества в целом могут быть затронуты.</w:t>
      </w:r>
      <w:r>
        <w:br/>
      </w:r>
      <w:r>
        <w:br/>
      </w:r>
      <w:r>
        <w:t xml:space="preserve">Таким образом, результаты данного анализа подчеркивают значимость различия между частным и публичным правом, а также обостряют необходимость четкого понимания их роли в правовой системе. Исследование выявило, что успешное функционирование правосудия возможно только при условии балансировки интересов общественного и частного правопорядка, что в свою очередь требует постоянного внимания со стороны законодателей, практиков и ученых.</w:t>
      </w:r>
    </w:p>
    <w:p>
      <w:pPr>
        <w:pStyle w:val="Heading1"/>
      </w:pPr>
      <w:r>
        <w:t xml:space="preserve">Заключение</w:t>
      </w:r>
    </w:p>
    <w:p>
      <w:pPr>
        <w:pStyle w:val="Heading2"/>
      </w:pPr>
      <w:r>
        <w:t xml:space="preserve">Основные выводы исследования</w:t>
      </w:r>
    </w:p>
    <w:p>
      <w:pPr>
        <w:spacing w:line="350"/>
      </w:pPr>
      <w:r>
        <w:t xml:space="preserve">В ходе проведенного исследования четко обозначились основные различия и взаимосвязи между частным и публичным правом, которые имеют важное значение для понимания структуры и функционирования правовой системы. Во-первых, отличительной чертой частного права является его направленность на защиту индивидуальных интересов, позволяющая субъектам свободно устанавливать и определять содержание своих прав и обязанностей. В этой области права стороны равны, и их взаимодействие осуществляется на основе согласия и взаимной выгоды. Например, договора, регулирующие торговые операции или семейные отношения, служат наглядным подтверждением этих принципов.[3]</w:t>
      </w:r>
      <w:r>
        <w:br/>
      </w:r>
      <w:r>
        <w:br/>
      </w:r>
      <w:r>
        <w:t xml:space="preserve">Во-вторых, публичное право, охватывающее нормы уголовного, административного и конституционного законодательства, ориентировано на защиту общественных интересов и поддержание порядка в обществе. Здесь одна из сторон — государство — имеет преимущество и стремится контролировать соблюдение законов и правопорядка. Таким образом, отношение между субъектами в этой сфере носит неравный характер, где госструктуры часто выступают в роли органов надзора или арбитров. Это различие формирует различные подходы к правоприменительной практике, определяющие динамику взаимодействия между частными и публичными интересами.[5]</w:t>
      </w:r>
      <w:r>
        <w:br/>
      </w:r>
      <w:r>
        <w:br/>
      </w:r>
      <w:r>
        <w:t xml:space="preserve">Также важно отметить, что частное и публичное право не являются изолированными категориями, а взаимодействуют друг с другом, создавая сложную правовую сеть. Это взаимодействие наблюдается в области правопреемства, защиты прав потребителей, а также в случаях, когда интересы общества пересекаются с правами отдельных граждан. Примером этого может служить инициатива государства по защите прав потребителей, что требует активного взаимодействия как норм частного, так и публичного права, где интересы отдельных лиц гармонизируются с общественными.</w:t>
      </w:r>
      <w:r>
        <w:br/>
      </w:r>
      <w:r>
        <w:br/>
      </w:r>
      <w:r>
        <w:t xml:space="preserve">Значение различий между частным и публичным правом становится особенно актуальным в контексте динамичного развития правовой системы. Оно позволяет не только идентифицировать и классифицировать правовые нормы, но и влияет на их интерпретацию и применение. В условиях глобализации и интеграции правовых систем важно правильно учитывать особенности каждой из этих областей, что дает возможность находить наиболее эффективные балансировки прав и обязанностей, как для отдельных граждан, так и для общества в целом.</w:t>
      </w:r>
      <w:r>
        <w:br/>
      </w:r>
      <w:r>
        <w:br/>
      </w:r>
      <w:r>
        <w:t xml:space="preserve">Таким образом, подводя итог, можно утверждать, что понимание различий и взаимодействия частного и публичного права является ключевым для успешного функционирования правовой системы. Эти аспекты требуют постоянного академического и практического анализа, чтобы обеспечить соответствие норм современным социальным и экономическим реалиям, что в конечном итоге способствует более справедливому и эффективному осуществлению правосудия.</w:t>
      </w:r>
    </w:p>
    <w:p>
      <w:pPr>
        <w:pStyle w:val="Heading1"/>
      </w:pPr>
      <w:r>
        <w:t xml:space="preserve">Список литературы</w:t>
      </w:r>
    </w:p>
    <w:p>
      <w:pPr>
        <w:spacing w:line="350"/>
      </w:pPr>
      <w:r>
        <w:t xml:space="preserve">1. Кирилл Л. Томашевский. Цифрализация и её влияние на рынок труда и трудовые отношения (теоретические и сравнительно-правовые аспекты). DOI 10.21638/spbu14.2020.210 // Vestnik of Saint Petersburg University Law. 01.01.2020 URL: https://lawjournal.spbu.ru/article/view/5622 (дата обращения: 27.06.2025).</w:t>
      </w:r>
      <w:r>
        <w:br/>
      </w:r>
      <w:r>
        <w:t xml:space="preserve">2. Илья Мосечкин. Искусственный интеллект и уголовная ответственность: проблемы становления нового типа субъекта преступления. DOI 10.21638/spbu14.2019.304 // Vestnik of Saint Petersburg University Law. 01.01.2019 URL: https://lawjournal.spbu.ru/article/view/5904 (дата обращения: 27.06.2025).</w:t>
      </w:r>
      <w:r>
        <w:br/>
      </w:r>
      <w:r>
        <w:t xml:space="preserve">3. Дмитрий Пашенцев. Особенности правоохранительной деятельности в условиях цифровизации социальных отношений. DOI 10.21638/spbu14.2020.103 // Vestnik of Saint Petersburg University Law. 01.01.2020 URL: https://lawjournal.spbu.ru/article/view/6307 (дата обращения: 27.06.2025).</w:t>
      </w:r>
      <w:r>
        <w:br/>
      </w:r>
      <w:r>
        <w:t xml:space="preserve">4. Сергей А. Боровиков, Светлана Н. Шишигина, Сауле Амандыкована, Пётр К. Должиков. Пожизненное заключение и предоставление досрочного освобождения в Федеративной Республике Германии и в Российской Федерации. DOI 10.21638/spbu14.2019.308 // Vestnik of Saint Petersburg University Law. 01.01.2019 URL: https://lawjournal.spbu.ru/article/view/5918 (дата обращения: 27.06.2025).</w:t>
      </w:r>
      <w:r>
        <w:br/>
      </w:r>
      <w:r>
        <w:t xml:space="preserve">5. Богдан В.В.. Право общественного интереса и концепция деления права на частное и публичное: постановка проблемы. DOI 10.7256/2454-0706.2017.7.22966 // Право и политика. 01.07.2017 URL: http://nbpublish.com/library_read_article.php?id=22966 (дата обращения: 27.06.2025).</w:t>
      </w:r>
      <w:r>
        <w:br/>
      </w:r>
      <w:r>
        <w:t xml:space="preserve">6. Александр В. Малышкин. Интеграция искусственного интеллекта в общественную жизнь: некоторые этические и правовые проблемы. DOI 10.21638/spbu14.2019.303 // Vestnik of Saint Petersburg University Law. 01.01.2019 URL: https://lawjournal.spbu.ru/article/view/5901 (дата обращения: 27.06.2025).</w:t>
      </w:r>
      <w:r>
        <w:br/>
      </w:r>
      <w:r>
        <w:t xml:space="preserve">7. Владимир К. Андреев, Василий А. Лаптев, Сергей Ю. Чуха. Искусственный интеллект в системе электронной юстиции при рассмотрении корпоративных споров. DOI 10.21638/spbu14.2020.102 // Vestnik of Saint Petersburg University Law. 01.01.2020 URL: https://lawjournal.spbu.ru/article/view/4066 (дата обращения: 27.06.2025).</w:t>
      </w:r>
      <w:r>
        <w:br/>
      </w:r>
      <w:r>
        <w:t xml:space="preserve">8. Александр Б. Зеленцов, Pavel I. Kononov, Александр И. Стахов. Административный процесс как вид юридического процесса: Современные проблемы понимания и нормативно-правового регулирования. DOI 10.21638/spbu14.2018.404 // Vestnik of Saint Petersburg University Law. 01.01.2018 URL: https://lawjournal.spbu.ru/article/view/3416 (дата обращения: 27.06.2025).</w:t>
      </w:r>
      <w:r>
        <w:br/>
      </w:r>
      <w:r>
        <w:t xml:space="preserve">9. А. Б. Зеленцов, Олег А. Ястребов. Концепция государственного управления в современном административном праве (сравнительное правовое исследование). DOI 10.21638/spbu14.2019.402 // Vestnik of Saint Petersburg University Law. 01.01.2019 URL: https://lawjournal.spbu.ru/article/view/5252 (дата обращения: 27.06.2025).</w:t>
      </w:r>
      <w:r>
        <w:br/>
      </w:r>
      <w:r>
        <w:t xml:space="preserve">10. Максим Залоило, Д. Пашенцев. Национальное право и порядок России в условиях цифровизации. DOI 10.21638/spbu14.2019.201 // Vestnik of Saint Petersburg University Law. 01.01.2019 URL: https://lawjournal.spbu.ru/article/view/5149 (дата обращения: 27.06.2025).</w:t>
      </w:r>
      <w:r>
        <w:br/>
      </w:r>
      <w:r>
        <w:t xml:space="preserve">11. Мария А. Егорова, Алексей Минбалеев, О. В. Кожевина, Ален Дюфо. Основные направления правового регулирования использования искусственного интеллекта в условиях пандемии. DOI 10.21638/spbu14.2021.201 // Vestnik of Saint Petersburg University Law. 01.01.2021 URL: https://lawjournal.spbu.ru/article/view/9346 (дата обращения: 27.06.2025).</w:t>
      </w:r>
      <w:r>
        <w:br/>
      </w:r>
      <w:r>
        <w:t xml:space="preserve">12. В. П. Кириленко, Г. В. Алексеев, Максим Пачек. Естественное право и кризис либерального правопорядка. DOI 10.21638/spbu14.2019.103 // Vestnik of Saint Petersburg University Law. 01.01.2019 URL: https://lawjournal.spbu.ru/article/view/4604 (дата обращения: 27.06.2025).</w:t>
      </w:r>
      <w:r>
        <w:br/>
      </w:r>
      <w:r>
        <w:t xml:space="preserve">13. Т. П. Шишмарева. Юридические лица в состоянии создания и прекращения как субъекты несостоятельности по немецкому и российскому праву. DOI 10.21638/spbu14.2019.108 // Vestnik of Saint Petersburg University Law. 01.01.2019 URL: https://lawjournal.spbu.ru/article/view/4620 (дата обращения: 27.06.2025).</w:t>
      </w:r>
      <w:r>
        <w:br/>
      </w:r>
      <w:r>
        <w:t xml:space="preserve">14. Мария И. Проскурякова. Конституционная основа для защиты персональных данных в России. DOI 10.21638/11701/spbu14.2016.202 // Vestnik of Saint Petersburg University Law. 01.01.2016 URL: http://hdl.handle.net/11701/5546 (дата обращения: 27.06.2025).</w:t>
      </w:r>
      <w:r>
        <w:br/>
      </w:r>
      <w:r>
        <w:t xml:space="preserve">15. А.В. Мартынов. Современное право и публичное управление: проблемы методологии и соотношения. DOI 10.7256/2306-4595.2013.4.924 // NB Экономика тренды и управление. 01.04.2013 URL: http://nbpublish.com/library_read_article.php?id=924 (дата обращения: 27.06.2025).</w:t>
      </w:r>
      <w:r>
        <w:br/>
      </w:r>
      <w:r>
        <w:t xml:space="preserve">16. Ли Ляньци. Правовая система предприятий с иностранным капиталом КНР и тенденции ее развития. DOI 10.7256/1729-5920.2014.1.10337 // Lex Russica. 01.01.2014 URL: http://nbpublish.com/library_read_article.php?id=-27420 (дата обращения: 27.06.2025).</w:t>
      </w:r>
      <w:r>
        <w:br/>
      </w:r>
      <w:r>
        <w:t xml:space="preserve">17. А. Александров, Ольга И. Андреева, Олег Зайцев. О перспективах развития российского уголовного судопроизводства в контексте цифровизации. DOI 10.17223/15617793/448/25 // Vestnik Tomskogo gosudarstvennogo universiteta. 01.01.2019 URL: http://journals.tsu.ru/vestnik/&amp;journal_page=archive&amp;id=1910&amp;article_id=43068 (дата обращения: 27.06.2025).</w:t>
      </w:r>
      <w:r>
        <w:br/>
      </w:r>
      <w:r>
        <w:t xml:space="preserve">18. А. Б. Богомолов. ПРАВОВАЯ СИСТЕМА И КОНСТИТУЦИЯ РЕСПУБЛИКИ БУРЯТИЯ. DOI 10.18101/2658-4409-2022-1-6-12 // Вестник Бурятского государственного университета Юриспруденция. 01.01.2022 URL: http://journals.bsu.ru/doi/10.18101/2658-4409-2022-1-6-12 (дата обращения: 27.06.2025).</w:t>
      </w:r>
      <w:r>
        <w:br/>
      </w:r>
      <w:r>
        <w:t xml:space="preserve">19. А.М. Доо. Правовая система субъекта Российской Федерации – Республики Тыва. DOI 10.24158/tipor.2019.1.15 // Теория и практика общественного развития. 21.01.2019 URL: http://teoria-practica.ru/rus/files/arhiv_zhurnala/2019/1/law/doo.pdf (дата обращения: 27.06.2025).</w:t>
      </w:r>
      <w:r>
        <w:br/>
      </w:r>
      <w:r>
        <w:t xml:space="preserve">20. Майдан К. Сулейменов, А. Е. Дуйсенова. Смешанные юрисдикции и правовая система Республики Казахстан (публично-правовые и частноправовые аспекты). DOI 10.31489/2021l3/118-126 // Bulletin of the Karaganda University “Law Series”. 30.09.2021 URL: https://law-vestnik.ksu.kz/index.php/law/article/view/171 (дата обращения: 27.06.2025).</w:t>
      </w:r>
      <w:r>
        <w:br/>
      </w:r>
      <w:r>
        <w:t xml:space="preserve">21. Лю Ю.. Экономическая правовая система КНР как контекст формирования инвестиционного права Китая. DOI 10.7256/2409-868x.2017.6.22953 // Genesis исторические исследования. 01.06.2017 URL: http://nbpublish.com/library_read_article.php?id=22953 (дата обращения: 27.06.2025).</w:t>
      </w:r>
      <w:r>
        <w:br/>
      </w:r>
      <w:r>
        <w:t xml:space="preserve">22. Наталия Солодова, Александра Васильева. Управление человеческими ресурсами: проблемы и перспективы. DOI 10.17323/2072-8166.2019.1.176.194 // Law Journal of the Higher School of Economics. 10.03.2019 URL: https://law-journal.hse.ru/data/2019/04/26/1181844931/%D1%81%D0%B0%D0%B2%D0%B8%D1%87%D0%B5%D0%B2.pdf (дата обращения: 27.06.2025).</w:t>
      </w:r>
      <w:r>
        <w:br/>
      </w:r>
      <w:r>
        <w:t xml:space="preserve">23. Аслан Абашидзе, Н Ф Кислицына. Система международного права. DOI 10.24833/0869-0049-2011-3-3-16 // Moscow Journal of International Law. 30.09.2011 URL: https://www.mjil.ru/jour/article/view/560 (дата обращения: 27.06.2025).</w:t>
      </w:r>
      <w:r>
        <w:br/>
      </w:r>
      <w:r>
        <w:t xml:space="preserve">24. И.Н. Сенин. ЮРИДИЧЕСКОЕ РЕГУЛИРОВАНИЕ И ЮРИДИЧЕСКАЯ СИСТЕМА. DOI 10.21779/2224-0241-2017-21-1-16-20 // Law Нerald of Dagestan State University. 01.01.2017 URL: http://jurvestnik.dgu.ru/Stat/jvest2017-1-3.pdf (дата обращения: 27.06.2025).</w:t>
      </w:r>
      <w:r>
        <w:br/>
      </w:r>
      <w:r>
        <w:t xml:space="preserve">25. Галина Викторовна Хамер, Р. В. Корнеева. СПРАВОЧНАЯ ПРАВОВАЯ СИСТЕМА «КОНСУЛЬТАНТПЛЮС» КАК ИНСТРУМЕНТ РЕАЛИЗАЦИИ МЕЖДИСЦИПЛИНАРНЫХ СВЯЗЕЙ В ВУЗЕ. DOI 10.12731/2227-930x-2017-4-53-68 // International Journal of Advanced Studies. 01.02.2018 URL: http://journal-s.org/index.php/ijas/article/view/10396 (дата обращения: 27.06.2025).</w:t>
      </w:r>
      <w:r>
        <w:br/>
      </w:r>
      <w:r>
        <w:t xml:space="preserve">26. Антон Васильев, Ибрагимов Жамаладен, Ольга Васильева. ДАРКНЕТ КАК УСКОЛЬЗАЮЩАЯ СФЕРА ПРАВОВОГО РЕГУЛИРОВАНИЯ. DOI 10.14258/leglin(2019)1202 // Legal Linguistics. 01.07.2019 URL: http://journal.asu.ru/urisl/article/view/%282019%291202 (дата обращения: 27.06.2025).</w:t>
      </w:r>
      <w:r>
        <w:br/>
      </w:r>
      <w:r>
        <w:t xml:space="preserve">27. Антон Васильев, Жамалден Ибрагимов, Рафаил Насыров, Игорь Васев. ТЕРМИН "ЦИФРОВОЕ ПРАВО" В ДОКТРИНЕ И ПРАВОВЫХ ТЕКСТАХ. DOI 10.14258/leglin(2019)1103 // Legal Linguistics. 01.04.2019 URL: http://journal.asu.ru/urisl/article/view/%282019%291103 (дата обращения: 27.06.2025).</w:t>
      </w:r>
      <w:r>
        <w:br/>
      </w:r>
      <w:r>
        <w:t xml:space="preserve">28. Роман А. Ромашов. Уголовно-исполнительное право: феноменология и последовательность. DOI 10.46741/2686-9764.2022.59.3.001 // Penitentiary Science. 30.09.2022 URL: https://jurnauka-vipe.ru/media/filer_public/ab/0f/ab0f5576-0e4f-48d2-bb88-98d69b45057f/ps_tom_16_3_romashov_r_a_penitentiary_law_phenomenology_and_consistency.pdf (дата обращения: 27.06.2025).</w:t>
      </w:r>
      <w:r>
        <w:br/>
      </w:r>
      <w:r>
        <w:t xml:space="preserve">29. Сергей Мосин. Свойства конституционного принципа добросовестности субъектов правоотношений. DOI 10.17323/2072-8166.2023.1.27.45 // Law Journal of the Higher School of Economics. 26.03.2023 URL: https://law-journal.hse.ru/article/view/20095 (дата обращения: 27.06.2025).</w:t>
      </w:r>
      <w:r>
        <w:br/>
      </w:r>
      <w:r>
        <w:t xml:space="preserve">30. Плискевич Наталья Михайловна. Институты, ценности и человеческий потенциал в условиях современной модернизации. DOI 10.17323/1811-038x-2022-31-3-33-53 // Мир России. 09.07.2022 URL: https://mirros.hse.ru/article/view/14594 (дата обращения: 27.06.2025).</w:t>
      </w:r>
    </w:p>
    <w:sectPr>
      <w:footerReference w:type="default" r:id="rId6"/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right"/>
    </w:pPr>
    <w:r>
      <w:fldChar w:fldCharType="begin"/>
      <w:instrText xml:space="preserve">PAGE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14pt"/>
        <w:szCs w:val="14pt"/>
        <w:rFonts w:ascii="Times New Roman" w:cs="Times New Roman" w:eastAsia="Times New Roman" w:hAnsi="Times New Roman"/>
      </w:rPr>
    </w:rPrDefault>
    <w:pPrDefault>
      <w:pPr>
        <w:spacing w:line="360" w:after="240"/>
        <w:jc w:val="both"/>
      </w:pPr>
    </w:pPrDefault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pPr>
      <w:spacing w:before="240" w:after="120"/>
    </w:pPr>
    <w:rPr>
      <w:b/>
      <w:bCs/>
      <w:sz w:val="18pt"/>
      <w:szCs w:val="18pt"/>
      <w:rFonts w:ascii="Times New Roman" w:cs="Times New Roman" w:eastAsia="Times New Roman" w:hAnsi="Times New Roman"/>
    </w:rPr>
  </w:style>
  <w:style w:type="paragraph" w:styleId="Heading2">
    <w:name w:val="Heading 2"/>
    <w:basedOn w:val="Normal"/>
    <w:next w:val="Normal"/>
    <w:qFormat/>
    <w:pPr>
      <w:spacing w:after="120"/>
    </w:pPr>
    <w:rPr>
      <w:b/>
      <w:bCs/>
      <w:sz w:val="16pt"/>
      <w:szCs w:val="16pt"/>
      <w:rFonts w:ascii="Times New Roman" w:cs="Times New Roman" w:eastAsia="Times New Roman" w:hAnsi="Times New Roman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  <w:rPr>
      <w:color w:val="000000"/>
      <w:rFonts w:ascii="Times New Roman" w:cs="Times New Roman" w:eastAsia="Times New Roman" w:hAnsi="Times New Roman"/>
    </w:rPr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oter" Target="footer1.xml"/><Relationship Id="rId7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2025-06-27T07:53:20.698Z</dcterms:created>
  <dcterms:modified xsi:type="dcterms:W3CDTF">2025-06-27T07:53:20.698Z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