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УДК 373.167.1:51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Аджимуратова Э.А.,</w:t>
      </w:r>
      <w:r>
        <w:rPr>
          <w:rFonts w:ascii="Times New Roman" w:hAnsi="Times New Roman" w:cs="Times New Roman"/>
          <w:i/>
          <w:sz w:val="28"/>
          <w:szCs w:val="28"/>
        </w:rPr>
        <w:t xml:space="preserve"> гр. М-СМО-24,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Соловьев А.Н.,</w:t>
      </w:r>
      <w:r>
        <w:rPr>
          <w:rFonts w:ascii="Times New Roman" w:hAnsi="Times New Roman" w:cs="Times New Roman"/>
          <w:i/>
          <w:sz w:val="28"/>
          <w:szCs w:val="28"/>
        </w:rPr>
        <w:t xml:space="preserve"> д-р. физ.-мат. наук, доцент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Интеграция математики и профессиональных дисциплин как фактор развития личностно-профессиональных притязаний и самооценки обучающихся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Аннотация.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 xml:space="preserve">В статье рассматривается проблема формирования личностно-профессиональных притязаний и развития способности к самооценке у обучающихся в процессе интеграции содержания дисциплины «Математика» с дисциплинами профессионального цикла. Анализируется теоретическ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 xml:space="preserve">ая основа интеграции дисциплин и ее влияние на формирование позитивной самооценки и адекватных профессиональных притязаний. Представлены результаты анализа взаимосвязи между интеграцией учебного материала, уровнем самооценки и профессиональными притязаниями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 xml:space="preserve"> обучающихся. Статья содержит выводы о значимости интеграции дисциплин для развития личностно-профессиональных качеств будущих специалистов.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п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рофессиональные компетенции, с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амооценка, п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едагогический инструмент, м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отивация к обучению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en-US" w:eastAsia="ru-RU"/>
        </w:rPr>
        <w:t xml:space="preserve">Adzhimuratova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en-US" w:eastAsia="ru-RU"/>
        </w:rPr>
        <w:t xml:space="preserve">E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val="en-US" w:eastAsia="ru-RU"/>
        </w:rPr>
        <w:t xml:space="preserve">. A.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group M-SMO-24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 xml:space="preserve">Solovyev A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 xml:space="preserve">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 xml:space="preserve"> N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Doctor of Physical and Mathematical Sciences, Associate Professor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DEVELOPMENT OF MATERIALS AND METHODOLOGICAL GUIDELINES FOR PREPARATION FOR THE USE IN MATHEMATICS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i/>
          <w:sz w:val="28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val="en-US" w:eastAsia="ru-RU"/>
        </w:rPr>
        <w:t xml:space="preserve">Abstract.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The article discusses the problem of forming personal and professional aspirations and developing the ability to self-evaluate in students during the integration of the content of the mathematics discipline with professional cycle disciplines. The theoretic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al basis of the integration of disciplines and its impact on the formation of positive self-esteem and adequate professional aspirations are analyzed. The results of the analysis of the relationship between the integration of educational material, the level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 of self-esteem, and the professional aspirations of students are presented. The article concludes that the integration of disciplines is important for the development of personal and professional qualities in future specialists.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i/>
          <w:sz w:val="28"/>
          <w:szCs w:val="24"/>
          <w:lang w:val="en-US" w:eastAsia="ru-RU"/>
        </w:rPr>
        <w:t xml:space="preserve">.</w:t>
      </w:r>
      <w:r>
        <w:rPr>
          <w:rFonts w:ascii="Times New Roman" w:hAnsi="Times New Roman" w:eastAsia="Times New Roman" w:cs="Times New Roman"/>
          <w:i/>
          <w:sz w:val="28"/>
          <w:szCs w:val="24"/>
          <w:lang w:val="en-US"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val="en-US" w:eastAsia="ru-RU"/>
        </w:rPr>
        <w:t xml:space="preserve">Keywords: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professional competencies, self-esteem, pedagogical tools, and motivation to learn.</w:t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i/>
          <w:sz w:val="28"/>
          <w:szCs w:val="28"/>
          <w:lang w:val="en-US" w:eastAsia="ru-RU"/>
        </w:rPr>
        <w:t xml:space="preserve">.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В условиях динамично развивающегося рынка труда и возрастающих требований к профессиональным компетенциям выпускников образовательных учреждений особую актуальность приобретает проблема формирования личностно-профессиональных качеств, способствующих успешно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й адаптации и самореализации в выбранной сфере деятельности. Важными компонентами этих качеств являются личностно-профессиональные притязания и способность к адекватной самооценке, которые определяют мотивацию к профессиональному росту и готовность к самосо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вершенствованию.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Интеграция содержания учебных дисциплин, в частности интеграция дисциплины «Математика» с дисциплинами профессионального цикла, представляет собой эффективный педагогический инструмент, способствующий формированию целостного представления о профессиональной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деятельности, развитию критического мышления и повышению мотивации к обучению. Использование математических знаний и методов при решении профессиональных задач позволяет обучающимся осознать практическую значимость математики и увидеть связь между теоретич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ескими знаниями и реальной профессиональной деятельностью.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Цель статьи: Обосновать теоретически и продемонстрировать на примере интеграции дисциплины «Математика» с дисциплинами профессионального цикла, влияние данной интеграции на формирование личностно-профессиональных притязаний и развитие способности к самооцен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ке у обучающихся.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Личностно-профессиональные притязания и способность к самооценке являются взаимосвязанными компонентами профессионального развития личности. Адекватная самооценка позволяет человеку реалистично оценивать свои возможности и ставить перед собой достижимые цел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и, а высокие профессиональные притязания стимулируют к самосовершенствованию и достижению высоких результатов в профессиональной деятельности.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Интеграция дисциплины «Математика» с дисциплинами профессионального цикла способствует формированию позитивной самооценки и адекватных профессиональных притязаний у обучающихся. При решении профессиональных задач с использованием математических методов обуч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ающиеся убеждаются в практической значимости математических знаний и осознают свою компетентность в данной области. Это повышает их уверенность в своих силах и стимулирует к постановке более высоких целей в профессиональной деятельности.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Интеграция дисциплин также способствует развитию критического мышления и умения анализировать сложные профессиональные ситуации. Решение задач, требующих применения математических знаний и профессиональных компетенций, позволяет обучающимся видеть взаимосвя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зь между различными аспектами профессиональной деятельности и принимать обоснованные решения. Это способствует формированию целостного представления о профессиональной деятельности и повышает их готовность к решению реальных профессиональных задач.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Для эффективной реализации интеграции дисциплины «Математика» с дисциплинами профессионального цикла необходимо разработать соответствующие методические материалы, учитывающие специфику профессиональной деятельности и уровень математической подготовки обуча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ющихся. Важно использовать активные методы обучения, стимулирующие участие обучающихся в процессе решения задач и обсуждения полученных результатов. Также необходимо обеспечить обратную связь с обучающимися, чтобы они могли оценить свои успехи и выявить обл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асти, требующие дальнейшего совершенствования.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Интеграция математики и профессиональных дисциплин является эффективным педагогическим инструментом, способствующим формированию личностно-профессиональных притязаний и развитию способности к самооценке у обучающихся . Этот подход позволяет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преодолеть разрыв между теорией и практикой, повысить мотивацию к обучению и сформировать целостное представление о профессиональной деятельности.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Применение математических методов при решении профессиональных задач позволяет обучающимся осознать свою компетентность в данной области и повышает их уверенность в своих силах. Это стимулирует к постановке более высоких целей в профессиональной деятельност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и и стремлению к самосовершенствованию.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Для успешной реализации интеграции необходимо учитывать следующие факторы: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4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Разработка методических материалов, соответствующих специфике профессиональной деятельности и уровню математической подготовки обучающихся.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4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Использование активных методов обучения, стимулирующих участие обучающихся в процессе решения задач и обсуждения результатов.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4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Обеспечение обратной связи с обучающимися, позволяющей им оценить свои успехи и выявить области, требующие дальнейшего совершенствования.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4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Необходима комплексная программа, направленная на развитие самооценки и профессиональных притязаний 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Дальнейшие исследования в этой области могут быть направлены на: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0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Оценку эффективности различных моделей интеграции математики и профессиональных дисциплин.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0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Выявление факторов, влияющих на формирование позитивной самооценки и адекватных профессиональных притязаний в процессе интеграции дисциплин.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0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Разработку методических рекомендаций по интеграции математики и профессиональных дисциплин для различных специальностей.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pStyle w:val="31"/>
        <w:numPr>
          <w:ilvl w:val="0"/>
          <w:numId w:val="20"/>
        </w:numPr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Исследование влияния интеграции дисциплин на профессиональное самоопределение выпускников.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Результаты подтверждают значимость интеграции математики и профессиональных дисциплин для подготовки компетентных и конкурентоспособных специалистов. Внедрение этого подхода способствует формированию позитивной самооценки, адекватных профессиональных притяз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аний и высокой мотивации к профессиональному развитию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0"/>
        <w:jc w:val="left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left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4"/>
          <w:highlight w:val="none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  <w:t xml:space="preserve">Литература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Абрамова, Г. С. Практическая психология : учебное пособие для студентов вузов / Г. С. Абрамова. – 9-е изд., перераб. и доп. – Москва : Академический Проект, 2007. – 496 с. – ISBN 978-5-8296-0062-4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Бордовская, Н. В. Педагогика : учебное пособие / Н. В. Бордовская, А. А. Реан. – Санкт-Петербург : Питер, 2000. – 304 с. – ISBN 5-272-00060-3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Зимняя, И. А. Ключевые компетенции – новая парадигма результата образования / И. А. Зимняя // Высшее образование сегодня. – 2003. – № 5. – С. 34-42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Климов, Е. А. Психология профессионального самоопределения : учебное пособие для студентов вузов / Е. А. Климов. – 5-е изд., стер. – Москва : Академия, 2009. – 304 с. – ISBN 978-5-7695-5618-8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Леонтьев, А. Н. Деятельность. Сознание. Личность / А. Н. Леонтьев. – Москва : Смысл ; Академия, 2005. – 352 с.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Маркова, А. К. Психология профессионализма / А. К. Маркова. – Москва : Международный гуманитарный фонд "Знание", 1996. – 312 с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7.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Митина, Л. М. Психология развития конкурентоспособной личности / Л. М. Митина. – Москва : Московский психолого-социальный институт ; Воронеж : МОДЭК, 2002. – 400 с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1134" w:bottom="1134" w:left="1134" w:header="709" w:footer="709" w:gutter="0"/>
      <w:pgNumType w:start="25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852166"/>
      <w:docPartObj>
        <w:docPartGallery w:val="Page Numbers (Bottom of Page)"/>
        <w:docPartUnique w:val="true"/>
      </w:docPartObj>
      <w:rPr/>
    </w:sdtPr>
    <w:sdtContent>
      <w:p>
        <w:pPr>
          <w:pStyle w:val="707"/>
          <w:jc w:val="right"/>
        </w:pPr>
        <w:r>
          <w:rPr>
            <w:rFonts w:ascii="Times New Roman" w:hAnsi="Times New Roman" w:cs="Times New Roman"/>
            <w:sz w:val="28"/>
          </w:rPr>
        </w:r>
        <w:r>
          <w:rPr>
            <w:rFonts w:ascii="Times New Roman" w:hAnsi="Times New Roman" w:cs="Times New Roman"/>
            <w:sz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</w:rPr>
        </w:r>
        <w:r/>
      </w:p>
    </w:sdtContent>
  </w:sdt>
  <w:p>
    <w:pPr>
      <w:pStyle w:val="70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852170"/>
      <w:docPartObj>
        <w:docPartGallery w:val="Page Numbers (Bottom of Page)"/>
        <w:docPartUnique w:val="true"/>
      </w:docPartObj>
      <w:rPr/>
    </w:sdtPr>
    <w:sdtContent>
      <w:p>
        <w:pPr>
          <w:pStyle w:val="707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</w:r>
        <w:r>
          <w:rPr>
            <w:rFonts w:ascii="Times New Roman" w:hAnsi="Times New Roman" w:cs="Times New Roman"/>
            <w:sz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</w:rPr>
        </w:r>
        <w:r>
          <w:rPr>
            <w:rFonts w:ascii="Times New Roman" w:hAnsi="Times New Roman" w:cs="Times New Roman"/>
            <w:sz w:val="28"/>
          </w:rPr>
        </w:r>
      </w:p>
    </w:sdtContent>
  </w:sdt>
  <w:p>
    <w:pPr>
      <w:pStyle w:val="707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1"/>
    <w:next w:val="7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1"/>
    <w:next w:val="7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1"/>
    <w:next w:val="7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1"/>
    <w:next w:val="7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1"/>
    <w:next w:val="7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1"/>
    <w:next w:val="7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1"/>
    <w:next w:val="7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1"/>
    <w:next w:val="7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1"/>
    <w:next w:val="7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1"/>
    <w:next w:val="7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2"/>
    <w:link w:val="34"/>
    <w:uiPriority w:val="10"/>
    <w:rPr>
      <w:sz w:val="48"/>
      <w:szCs w:val="48"/>
    </w:rPr>
  </w:style>
  <w:style w:type="paragraph" w:styleId="36">
    <w:name w:val="Subtitle"/>
    <w:basedOn w:val="701"/>
    <w:next w:val="7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2"/>
    <w:link w:val="36"/>
    <w:uiPriority w:val="11"/>
    <w:rPr>
      <w:sz w:val="24"/>
      <w:szCs w:val="24"/>
    </w:rPr>
  </w:style>
  <w:style w:type="paragraph" w:styleId="38">
    <w:name w:val="Quote"/>
    <w:basedOn w:val="701"/>
    <w:next w:val="7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1"/>
    <w:next w:val="7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2"/>
    <w:link w:val="705"/>
    <w:uiPriority w:val="99"/>
  </w:style>
  <w:style w:type="character" w:styleId="45">
    <w:name w:val="Footer Char"/>
    <w:basedOn w:val="702"/>
    <w:link w:val="707"/>
    <w:uiPriority w:val="99"/>
  </w:style>
  <w:style w:type="paragraph" w:styleId="46">
    <w:name w:val="Caption"/>
    <w:basedOn w:val="701"/>
    <w:next w:val="70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0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7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2"/>
    <w:uiPriority w:val="99"/>
    <w:unhideWhenUsed/>
    <w:rPr>
      <w:vertAlign w:val="superscript"/>
    </w:rPr>
  </w:style>
  <w:style w:type="paragraph" w:styleId="178">
    <w:name w:val="endnote text"/>
    <w:basedOn w:val="7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2"/>
    <w:uiPriority w:val="99"/>
    <w:semiHidden/>
    <w:unhideWhenUsed/>
    <w:rPr>
      <w:vertAlign w:val="superscript"/>
    </w:rPr>
  </w:style>
  <w:style w:type="paragraph" w:styleId="181">
    <w:name w:val="toc 1"/>
    <w:basedOn w:val="701"/>
    <w:next w:val="7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1"/>
    <w:next w:val="7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1"/>
    <w:next w:val="7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1"/>
    <w:next w:val="7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1"/>
    <w:next w:val="7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1"/>
    <w:next w:val="7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1"/>
    <w:next w:val="7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1"/>
    <w:next w:val="7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1"/>
    <w:next w:val="7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1"/>
    <w:next w:val="701"/>
    <w:uiPriority w:val="99"/>
    <w:unhideWhenUsed/>
    <w:pPr>
      <w:spacing w:after="0" w:afterAutospacing="0"/>
    </w:pPr>
  </w:style>
  <w:style w:type="paragraph" w:styleId="701" w:default="1">
    <w:name w:val="Normal"/>
    <w:qFormat/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paragraph" w:styleId="705">
    <w:name w:val="Header"/>
    <w:basedOn w:val="701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6" w:customStyle="1">
    <w:name w:val="Верхний колонтитул Знак"/>
    <w:basedOn w:val="702"/>
    <w:link w:val="705"/>
    <w:uiPriority w:val="99"/>
  </w:style>
  <w:style w:type="paragraph" w:styleId="707">
    <w:name w:val="Footer"/>
    <w:basedOn w:val="701"/>
    <w:link w:val="7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Нижний колонтитул Знак"/>
    <w:basedOn w:val="702"/>
    <w:link w:val="707"/>
    <w:uiPriority w:val="99"/>
  </w:style>
  <w:style w:type="paragraph" w:styleId="709">
    <w:name w:val="Balloon Text"/>
    <w:basedOn w:val="701"/>
    <w:link w:val="71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10" w:customStyle="1">
    <w:name w:val="Текст выноски Знак"/>
    <w:basedOn w:val="702"/>
    <w:link w:val="70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Diana Adzhimuratova</cp:lastModifiedBy>
  <cp:revision>8</cp:revision>
  <dcterms:created xsi:type="dcterms:W3CDTF">2025-06-30T08:59:00Z</dcterms:created>
  <dcterms:modified xsi:type="dcterms:W3CDTF">2025-06-30T22:22:20Z</dcterms:modified>
</cp:coreProperties>
</file>