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EDB0D">
      <w:pPr>
        <w:pStyle w:val="4"/>
        <w:spacing w:before="0" w:line="240" w:lineRule="auto"/>
        <w:ind w:left="-142" w:firstLine="0"/>
        <w:jc w:val="center"/>
        <w:rPr>
          <w:sz w:val="36"/>
          <w:szCs w:val="36"/>
        </w:rPr>
      </w:pPr>
    </w:p>
    <w:p w14:paraId="3A233B92">
      <w:pPr>
        <w:shd w:val="clear" w:color="auto" w:fill="FFFFFF"/>
        <w:spacing w:after="150" w:line="240" w:lineRule="auto"/>
        <w:jc w:val="center"/>
        <w:rPr>
          <w:rFonts w:ascii="Times New Roman" w:hAnsi="Times New Roman" w:eastAsia="Times New Roman" w:cs="Times New Roman"/>
          <w:b/>
          <w:color w:val="333333"/>
          <w:sz w:val="36"/>
          <w:szCs w:val="36"/>
        </w:rPr>
      </w:pPr>
      <w:r>
        <w:rPr>
          <w:rFonts w:ascii="Times New Roman" w:hAnsi="Times New Roman" w:eastAsia="Times New Roman" w:cs="Times New Roman"/>
          <w:b/>
          <w:color w:val="333333"/>
          <w:sz w:val="36"/>
          <w:szCs w:val="36"/>
        </w:rPr>
        <w:t>«Развитие речи с помощью дидактических игр»</w:t>
      </w:r>
    </w:p>
    <w:p w14:paraId="6F9FBACD">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На сегодняшний день – образная, богатая синонимами и описаниями речь у детей дошкольного возраста – явление очень редкое. В речи детей существует множество проблем: бедность речи, недостаточный словарный запас, употребление не литературных слов и выражений, не способность грамотно и доступно сформулировать вопрос, построить краткий или развернутый ответ, отсутствие логических обоснований и выводов, отсутствие навыков культуры речи и культуры общения. Все это связано, во-первых, с недоразвитостью речевого аппарата и его анатомического строения, во-вторых, из-за недостаточного общения детей друг с другом и со взрослыми. Поэтому педагогическое воздействие при развитии речи дошкольников очень сложное и важное дело.</w:t>
      </w:r>
    </w:p>
    <w:p w14:paraId="52A79A0E">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Невозможно переоценить роль родного языка, который помогает людям, прежде всего детям, осознанно воспринимать окружающий мир и является средством общения. Дети, не получившие в дошкольном возрасте соответствующее речевое развитие, с большим трудом наверстывают упущенное, в будущем этот пробел в развитии влияет на его дальнейшее развитие. Именно в дошкольном возрасте нужно обогащать пассивный словарь ребёнка, приучать ребенка самостоятельно пользоваться словами, стимулировать речевую активность и познавательные интересы.</w:t>
      </w:r>
    </w:p>
    <w:p w14:paraId="155D3C36">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Эта проблема подвела меня к мысли о необходимости больше внимания уделить именно развитию речи детей дошкольного возраста. Поэтому задача обогащения словаря и активизации речи детей должна решаться ежеминутно, ежесекундно, постоянно звучать в беседах с родителями, пронизывать все режимные моменты.</w:t>
      </w:r>
    </w:p>
    <w:p w14:paraId="18FB8C79">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Основная особенность дидактических игр определена их названием: это игры обучающие. Они создаются взрослыми в целях воспитания и обучения играющих детей.</w:t>
      </w:r>
    </w:p>
    <w:p w14:paraId="1C6A1893">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Воспитательно-образовательное значение дидактической игры не выступает открыто, а реализуется через игровую задачу, игровые действия, правила.</w:t>
      </w:r>
    </w:p>
    <w:p w14:paraId="3FAF8B14">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Эти игры способствуют развитию познавательной деятельности, интеллектуальных операций, представляющих собой основу обучения. Для дидактических игр характерно наличие задачи учебного характера - обучающей задачи. Ею руководствуются взрослые, создавая ту или иную дидактическую игру, но облекают ее в занимательную для детей форму.</w:t>
      </w:r>
    </w:p>
    <w:p w14:paraId="3ED1CDE2">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Приведем примеры обучающих задач по развитию речи детей дошкольного возраста в процессе дидактической игры: обеспечивают количественное накопление необходимого для полноценного общения словарного запаса; помогают в понимании значений слов и их правильного употребления с другими словами; позволяют освоить обобщающие значения слов, основанные на выделении общих характерных признаков предметов, действий или явлений; улучшают образность мышления и ее выражение словесным описанием, благодаря использованию специальных речевых построений; по мере развития познавательных возможностей дидактические игры по развитию речи помогают расширять объективное понятийное содержание слов; некоторые игры с задачами этического содержания, наряду с совершенствованием словарного запаса, обучают задаткам социальной этики и морали; стимулируют работу воображения, активируя и обогащая словарь дошкольника в занимательной игровой форме; развивают логическое и образное мышление, необходимое для решения поставленных игровых задач; способствуют не только пополнению словарного запаса, но и активно вводят новые слова в повседневное общение.</w:t>
      </w:r>
    </w:p>
    <w:p w14:paraId="187F15AA">
      <w:pPr>
        <w:shd w:val="clear" w:color="auto" w:fill="FFFFFF"/>
        <w:tabs>
          <w:tab w:val="left" w:pos="9354"/>
        </w:tabs>
        <w:spacing w:after="150" w:line="240" w:lineRule="auto"/>
        <w:ind w:right="-285"/>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Ребенка привлекает в игре не обучающая задача, которая в ней заложена, а возможность проявить активность, выполнить игровые действия,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добиться результата.</w:t>
      </w:r>
    </w:p>
    <w:p w14:paraId="2AFFBCAB">
      <w:pPr>
        <w:shd w:val="clear" w:color="auto" w:fill="FFFFFF"/>
        <w:spacing w:after="150" w:line="240" w:lineRule="auto"/>
        <w:ind w:right="-285"/>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Таким образом, активное участие, тем более выигрыш в дидактической игре зависят от того, насколько ребенок овладел знаниями и умениями, которые диктуются ее обучающей задачей. Это побуждает ребенка быть внимательным, запоминать, сравнивать, классифицировать, уточнять свои знания. Значит, дидактическая игра поможет ему чему-то научиться в легкой, непринужденной форме.</w:t>
      </w:r>
    </w:p>
    <w:p w14:paraId="2061F243">
      <w:pPr>
        <w:shd w:val="clear" w:color="auto" w:fill="FFFFFF"/>
        <w:spacing w:after="150" w:line="240" w:lineRule="auto"/>
        <w:ind w:right="-285"/>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Игра является эффективным средством развития речи детей. Большое влияние на развитие речи детей оказывают игры, содержанием которых является инсценирование какого-либо сюжета, - так называемые игры-драматизации. Хороводные игры и игры с пением способствуют развитию выразительности речи и согласованности слов с движениями. Подобные игры формируют также произвольное запоминание текстов и движений.</w:t>
      </w:r>
    </w:p>
    <w:p w14:paraId="008AF647">
      <w:pPr>
        <w:shd w:val="clear" w:color="auto" w:fill="FFFFFF"/>
        <w:spacing w:after="150" w:line="240" w:lineRule="auto"/>
        <w:ind w:right="-285"/>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Игра развивает язык, а язык организует игру. Главное назначение игр – развитие ребёнка, коррекция того, что в нем заложено и проявлено, вывод ребёнка на творческое, экспериментальное поведение. Дидактическая игра развивает речь детей: пополняет и активизирует словарь, формирует правильное звукопроизношение, развивает связную речь, умение правильно выражать свои мысли.</w:t>
      </w:r>
    </w:p>
    <w:p w14:paraId="052A580A">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Главное место в игре надо отводить работе со звуком, буквой, предложением. Необходимо достаточно времени уделять звуковому восприятию слова, формируя фонетический и речевой слух ребёнка. У многих детей есть дефекты произношения. Наличие даже слабовыраженных дефектов в фонематическом развитии создаёт серьёзные препятствия для успешного усвоения ребёнком программного материала по чтению и письму, так как оказываются недостаточно сформированными практические обобщения о звуковом составе слова.</w:t>
      </w:r>
    </w:p>
    <w:p w14:paraId="1BFAFED4">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Ребёнок начинает осознанно относиться к воспринимаемой речи взрослых и сверстников в повседневном общении, самостоятельно оценивать те или иные особенности художественной речи, языка произведений художественной литературы и фольклора. Невозможно себе представить, что ребёнок, «глухой» к звучащему слову, будет эстетически полноценно воспринимать и чувствовать поэтическую речь. Развитие речи ребёнка в дошкольном возрасте способствует в дальнейшем благополучному обучению в школе.</w:t>
      </w:r>
    </w:p>
    <w:p w14:paraId="6EEE5603">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Задача педагога заключается в том, чтобы вызвать у детей интерес к игре, подобрать такие варианты игры, где дети смогли бы активно обогатить свой словарь. Дидактическая игра является широко распространенным методом словарной работы с детьми дошкольного возраста.</w:t>
      </w:r>
    </w:p>
    <w:p w14:paraId="6A3FB870">
      <w:pPr>
        <w:shd w:val="clear" w:color="auto" w:fill="FFFFFF"/>
        <w:spacing w:after="150" w:line="240" w:lineRule="auto"/>
        <w:jc w:val="both"/>
        <w:rPr>
          <w:rFonts w:ascii="Times New Roman" w:hAnsi="Times New Roman" w:eastAsia="Times New Roman" w:cs="Times New Roman"/>
          <w:color w:val="333333"/>
          <w:sz w:val="36"/>
          <w:szCs w:val="36"/>
        </w:rPr>
      </w:pPr>
      <w:r>
        <w:rPr>
          <w:rFonts w:ascii="Times New Roman" w:hAnsi="Times New Roman" w:eastAsia="Times New Roman" w:cs="Times New Roman"/>
          <w:color w:val="333333"/>
          <w:sz w:val="36"/>
          <w:szCs w:val="36"/>
        </w:rPr>
        <w:t>Несомненно, дидактические игры являются мощнейшим средством для развития речи у детей еще и потому, что их можно рекомендовать для использования родителям в домашних условиях. Проведение дидактических игр не требует особых знаний в области педагогических наук и больших затрат в подготовке игры.</w:t>
      </w:r>
    </w:p>
    <w:p w14:paraId="3A0EDF57">
      <w:pPr>
        <w:shd w:val="clear" w:color="auto" w:fill="FFFFFF"/>
        <w:spacing w:after="150" w:line="240" w:lineRule="auto"/>
        <w:jc w:val="both"/>
        <w:rPr>
          <w:rFonts w:ascii="Times New Roman" w:hAnsi="Times New Roman" w:eastAsia="Times New Roman" w:cs="Times New Roman"/>
          <w:b/>
          <w:bCs/>
          <w:color w:val="333333"/>
          <w:sz w:val="36"/>
          <w:szCs w:val="36"/>
        </w:rPr>
      </w:pPr>
      <w:r>
        <w:rPr>
          <w:rFonts w:ascii="Times New Roman" w:hAnsi="Times New Roman" w:eastAsia="Times New Roman" w:cs="Times New Roman"/>
          <w:b/>
          <w:bCs/>
          <w:color w:val="333333"/>
          <w:sz w:val="36"/>
          <w:szCs w:val="36"/>
        </w:rPr>
        <w:br w:type="textWrapping"/>
      </w:r>
      <w:r>
        <w:rPr>
          <w:rFonts w:ascii="Times New Roman" w:hAnsi="Times New Roman" w:eastAsia="Times New Roman" w:cs="Times New Roman"/>
          <w:b/>
          <w:bCs/>
          <w:color w:val="333333"/>
          <w:sz w:val="36"/>
          <w:szCs w:val="36"/>
        </w:rPr>
        <w:t>Список литературы</w:t>
      </w:r>
    </w:p>
    <w:p w14:paraId="3002C08B">
      <w:pPr>
        <w:shd w:val="clear" w:color="auto" w:fill="FFFFFF"/>
        <w:spacing w:after="150" w:line="240" w:lineRule="auto"/>
        <w:jc w:val="both"/>
        <w:rPr>
          <w:rFonts w:ascii="Times New Roman" w:hAnsi="Times New Roman" w:eastAsia="Times New Roman" w:cs="Times New Roman"/>
          <w:color w:val="333333"/>
          <w:sz w:val="36"/>
          <w:szCs w:val="36"/>
        </w:rPr>
      </w:pPr>
      <w:r>
        <w:rPr>
          <w:rFonts w:hint="default" w:ascii="Times New Roman" w:hAnsi="Times New Roman" w:eastAsia="Times New Roman" w:cs="Times New Roman"/>
          <w:color w:val="333333"/>
          <w:sz w:val="36"/>
          <w:szCs w:val="36"/>
          <w:lang w:val="ru-RU"/>
        </w:rPr>
        <w:t>1</w:t>
      </w:r>
      <w:r>
        <w:rPr>
          <w:rFonts w:ascii="Times New Roman" w:hAnsi="Times New Roman" w:eastAsia="Times New Roman" w:cs="Times New Roman"/>
          <w:color w:val="333333"/>
          <w:sz w:val="36"/>
          <w:szCs w:val="36"/>
        </w:rPr>
        <w:t>. Иванова О. Л., Васильева И. И. «Как понять детский рисунок и развить творческие способности ребенка.</w:t>
      </w:r>
    </w:p>
    <w:p w14:paraId="02E9CAF1">
      <w:pPr>
        <w:shd w:val="clear" w:color="auto" w:fill="FFFFFF"/>
        <w:spacing w:after="150" w:line="240" w:lineRule="auto"/>
        <w:jc w:val="both"/>
        <w:rPr>
          <w:rFonts w:ascii="Times New Roman" w:hAnsi="Times New Roman" w:eastAsia="Times New Roman" w:cs="Times New Roman"/>
          <w:color w:val="333333"/>
          <w:sz w:val="36"/>
          <w:szCs w:val="36"/>
        </w:rPr>
      </w:pPr>
      <w:r>
        <w:rPr>
          <w:rFonts w:hint="default" w:ascii="Times New Roman" w:hAnsi="Times New Roman" w:eastAsia="Times New Roman" w:cs="Times New Roman"/>
          <w:color w:val="333333"/>
          <w:sz w:val="36"/>
          <w:szCs w:val="36"/>
          <w:lang w:val="ru-RU"/>
        </w:rPr>
        <w:t>2</w:t>
      </w:r>
      <w:r>
        <w:rPr>
          <w:rFonts w:ascii="Times New Roman" w:hAnsi="Times New Roman" w:eastAsia="Times New Roman" w:cs="Times New Roman"/>
          <w:color w:val="333333"/>
          <w:sz w:val="36"/>
          <w:szCs w:val="36"/>
        </w:rPr>
        <w:t>. «Методика обучения изобразительной деятельности» под редакцией Т. С. Комаровой.</w:t>
      </w:r>
    </w:p>
    <w:p w14:paraId="7A4BA6A2">
      <w:pPr>
        <w:shd w:val="clear" w:color="auto" w:fill="FFFFFF"/>
        <w:spacing w:after="150" w:line="240" w:lineRule="auto"/>
        <w:jc w:val="both"/>
        <w:rPr>
          <w:rFonts w:ascii="Times New Roman" w:hAnsi="Times New Roman" w:eastAsia="Times New Roman" w:cs="Times New Roman"/>
          <w:color w:val="333333"/>
          <w:sz w:val="36"/>
          <w:szCs w:val="36"/>
        </w:rPr>
      </w:pPr>
      <w:r>
        <w:rPr>
          <w:rFonts w:hint="default" w:ascii="Times New Roman" w:hAnsi="Times New Roman" w:eastAsia="Times New Roman" w:cs="Times New Roman"/>
          <w:color w:val="333333"/>
          <w:sz w:val="36"/>
          <w:szCs w:val="36"/>
          <w:lang w:val="ru-RU"/>
        </w:rPr>
        <w:t>3</w:t>
      </w:r>
      <w:r>
        <w:rPr>
          <w:rFonts w:ascii="Times New Roman" w:hAnsi="Times New Roman" w:eastAsia="Times New Roman" w:cs="Times New Roman"/>
          <w:color w:val="333333"/>
          <w:sz w:val="36"/>
          <w:szCs w:val="36"/>
        </w:rPr>
        <w:t>. Лопухина И. С. Логопедия – речь, ритм, движение: Пособие для логопедов и родителей.</w:t>
      </w:r>
    </w:p>
    <w:p w14:paraId="0514A9F5">
      <w:pPr>
        <w:shd w:val="clear" w:color="auto" w:fill="FFFFFF"/>
        <w:spacing w:after="150" w:line="240" w:lineRule="auto"/>
        <w:jc w:val="both"/>
        <w:rPr>
          <w:rFonts w:ascii="Times New Roman" w:hAnsi="Times New Roman" w:eastAsia="Times New Roman" w:cs="Times New Roman"/>
          <w:color w:val="333333"/>
          <w:sz w:val="36"/>
          <w:szCs w:val="36"/>
        </w:rPr>
      </w:pPr>
      <w:r>
        <w:rPr>
          <w:rFonts w:hint="default" w:ascii="Times New Roman" w:hAnsi="Times New Roman" w:eastAsia="Times New Roman" w:cs="Times New Roman"/>
          <w:color w:val="333333"/>
          <w:sz w:val="36"/>
          <w:szCs w:val="36"/>
          <w:lang w:val="ru-RU"/>
        </w:rPr>
        <w:t>4</w:t>
      </w:r>
      <w:r>
        <w:rPr>
          <w:rFonts w:ascii="Times New Roman" w:hAnsi="Times New Roman" w:eastAsia="Times New Roman" w:cs="Times New Roman"/>
          <w:color w:val="333333"/>
          <w:sz w:val="36"/>
          <w:szCs w:val="36"/>
        </w:rPr>
        <w:t>. Лыкова И. А. «Дидактические игры и занятия. Художественное воспитание и развитие детей 1–7 лет». Методическое пособие для специалистов дошкольных образовательных учреждений. «Карапуз-дидактика». Творческий центр СФЕРА</w:t>
      </w:r>
    </w:p>
    <w:p w14:paraId="70959800">
      <w:pPr>
        <w:shd w:val="clear" w:color="auto" w:fill="FFFFFF"/>
        <w:spacing w:after="150" w:line="240" w:lineRule="auto"/>
        <w:jc w:val="both"/>
        <w:rPr>
          <w:rFonts w:ascii="Times New Roman" w:hAnsi="Times New Roman" w:eastAsia="Times New Roman" w:cs="Times New Roman"/>
          <w:color w:val="333333"/>
          <w:sz w:val="36"/>
          <w:szCs w:val="36"/>
        </w:rPr>
      </w:pPr>
      <w:r>
        <w:rPr>
          <w:rFonts w:hint="default" w:ascii="Times New Roman" w:hAnsi="Times New Roman" w:eastAsia="Times New Roman" w:cs="Times New Roman"/>
          <w:color w:val="333333"/>
          <w:sz w:val="36"/>
          <w:szCs w:val="36"/>
          <w:lang w:val="ru-RU"/>
        </w:rPr>
        <w:t>5</w:t>
      </w:r>
      <w:r>
        <w:rPr>
          <w:rFonts w:ascii="Times New Roman" w:hAnsi="Times New Roman" w:eastAsia="Times New Roman" w:cs="Times New Roman"/>
          <w:color w:val="333333"/>
          <w:sz w:val="36"/>
          <w:szCs w:val="36"/>
        </w:rPr>
        <w:t>. Лыкова И. А. «Программа художественного воспитания, обучения и развития детей 2–7 лет. Цветные ладошки»</w:t>
      </w:r>
    </w:p>
    <w:p w14:paraId="058BB478">
      <w:pPr>
        <w:rPr>
          <w:rFonts w:ascii="Times New Roman" w:hAnsi="Times New Roman" w:cs="Times New Roman"/>
          <w:sz w:val="28"/>
          <w:szCs w:val="28"/>
        </w:rPr>
      </w:pPr>
      <w:bookmarkStart w:id="0" w:name="_GoBack"/>
      <w:bookmarkEnd w:id="0"/>
    </w:p>
    <w:sectPr>
      <w:pgSz w:w="11906" w:h="16838"/>
      <w:pgMar w:top="1134" w:right="1134" w:bottom="1134" w:left="1418"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E5601F"/>
    <w:rsid w:val="000E52B2"/>
    <w:rsid w:val="00195FB2"/>
    <w:rsid w:val="001D7E53"/>
    <w:rsid w:val="00215F6E"/>
    <w:rsid w:val="002334FE"/>
    <w:rsid w:val="002A2BA5"/>
    <w:rsid w:val="003C7B56"/>
    <w:rsid w:val="0052219F"/>
    <w:rsid w:val="00567269"/>
    <w:rsid w:val="007128D7"/>
    <w:rsid w:val="00863300"/>
    <w:rsid w:val="008941C9"/>
    <w:rsid w:val="008B41FD"/>
    <w:rsid w:val="00AF3445"/>
    <w:rsid w:val="00BD14DB"/>
    <w:rsid w:val="00C10989"/>
    <w:rsid w:val="00CC1B3C"/>
    <w:rsid w:val="00E5601F"/>
    <w:rsid w:val="0BA41EFC"/>
    <w:rsid w:val="25A50A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uiPriority w:val="0"/>
    <w:pPr>
      <w:spacing w:before="100" w:after="100" w:line="360" w:lineRule="auto"/>
      <w:ind w:firstLine="240"/>
    </w:pPr>
    <w:rPr>
      <w:rFonts w:ascii="Times New Roman" w:hAnsi="Times New Roman" w:eastAsia="Times New Roman" w:cs="Times New Roman"/>
      <w:sz w:val="24"/>
      <w:szCs w:val="24"/>
    </w:rPr>
  </w:style>
  <w:style w:type="character" w:customStyle="1" w:styleId="5">
    <w:name w:val="c7 c4"/>
    <w:basedOn w:val="2"/>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2526</Words>
  <Characters>14401</Characters>
  <Lines>120</Lines>
  <Paragraphs>33</Paragraphs>
  <TotalTime>91</TotalTime>
  <ScaleCrop>false</ScaleCrop>
  <LinksUpToDate>false</LinksUpToDate>
  <CharactersWithSpaces>16894</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2020-10-09T18:06:00Z</dcterms:created>
  <dc:creator>DNA7 X86</dc:creator>
  <cp:lastModifiedBy>izzy</cp:lastModifiedBy>
  <dcterms:modified xsi:type="dcterms:W3CDTF">2025-08-05T08:13:44Z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E978EA18F98149318CCD42BBA8201F50_12</vt:lpwstr>
  </property>
</Properties>
</file>