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E59E1" w:rsidRPr="00186330" w:rsidRDefault="003E59E1" w:rsidP="003E59E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Коваль Сергей Дмитриевич</w:t>
      </w:r>
      <w:r w:rsidRPr="00186330">
        <w:rPr>
          <w:rFonts w:ascii="Times New Roman" w:hAnsi="Times New Roman" w:cs="Times New Roman"/>
          <w:sz w:val="28"/>
          <w:szCs w:val="28"/>
        </w:rPr>
        <w:t>,</w:t>
      </w:r>
    </w:p>
    <w:p w:rsidR="003E59E1" w:rsidRPr="00083EA1" w:rsidRDefault="003E59E1" w:rsidP="003E59E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83EA1">
        <w:rPr>
          <w:rFonts w:ascii="Times New Roman" w:hAnsi="Times New Roman" w:cs="Times New Roman"/>
          <w:sz w:val="28"/>
          <w:szCs w:val="28"/>
        </w:rPr>
        <w:t xml:space="preserve">курсант </w:t>
      </w:r>
    </w:p>
    <w:p w:rsidR="003E59E1" w:rsidRDefault="003E59E1" w:rsidP="003E59E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ФГКВОУ ВО «</w:t>
      </w:r>
      <w:r w:rsidRPr="00083EA1">
        <w:rPr>
          <w:rFonts w:ascii="Times New Roman" w:hAnsi="Times New Roman" w:cs="Times New Roman"/>
          <w:sz w:val="28"/>
          <w:szCs w:val="28"/>
        </w:rPr>
        <w:t>Военный учебно-научный</w:t>
      </w:r>
      <w:r>
        <w:rPr>
          <w:rFonts w:ascii="Times New Roman" w:hAnsi="Times New Roman" w:cs="Times New Roman"/>
          <w:sz w:val="28"/>
          <w:szCs w:val="28"/>
        </w:rPr>
        <w:t xml:space="preserve"> центр</w:t>
      </w:r>
      <w:r w:rsidRPr="00083EA1">
        <w:rPr>
          <w:rFonts w:ascii="Times New Roman" w:hAnsi="Times New Roman" w:cs="Times New Roman"/>
          <w:sz w:val="28"/>
          <w:szCs w:val="28"/>
        </w:rPr>
        <w:t xml:space="preserve"> Военно-воздушных</w:t>
      </w:r>
    </w:p>
    <w:p w:rsidR="003E59E1" w:rsidRDefault="003E59E1" w:rsidP="003E59E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сил </w:t>
      </w:r>
      <w:r w:rsidRPr="00083EA1">
        <w:rPr>
          <w:rFonts w:ascii="Times New Roman" w:hAnsi="Times New Roman" w:cs="Times New Roman"/>
          <w:sz w:val="28"/>
          <w:szCs w:val="28"/>
        </w:rPr>
        <w:t>Военно-воздушная академия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EA1">
        <w:rPr>
          <w:rFonts w:ascii="Times New Roman" w:hAnsi="Times New Roman" w:cs="Times New Roman"/>
          <w:sz w:val="28"/>
          <w:szCs w:val="28"/>
        </w:rPr>
        <w:t>имени профессора</w:t>
      </w:r>
    </w:p>
    <w:p w:rsidR="003E59E1" w:rsidRPr="00083EA1" w:rsidRDefault="003E59E1" w:rsidP="003E59E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83EA1">
        <w:rPr>
          <w:rFonts w:ascii="Times New Roman" w:hAnsi="Times New Roman" w:cs="Times New Roman"/>
          <w:sz w:val="28"/>
          <w:szCs w:val="28"/>
        </w:rPr>
        <w:t>Н.Е. Жуковского и Ю.А. Гагарина» (г. Воронеж)</w:t>
      </w:r>
    </w:p>
    <w:p w:rsidR="003E59E1" w:rsidRDefault="003E59E1" w:rsidP="003E59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5103" w:rsidRPr="003E59E1" w:rsidRDefault="003E59E1" w:rsidP="003E59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9E1">
        <w:rPr>
          <w:rFonts w:ascii="Times New Roman" w:hAnsi="Times New Roman" w:cs="Times New Roman"/>
          <w:b/>
          <w:sz w:val="28"/>
          <w:szCs w:val="28"/>
        </w:rPr>
        <w:t>ТРАНСФОРМАЦИЯ ПАРТИЙНЫХ СИСТЕМ В УСЛОВИЯХ ЦИФРОВОЙ ЭПОХИ: СРАВНИТЕЛЬНЫЙ АНАЛИЗ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5103" w:rsidRPr="003E59E1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 </w:t>
      </w:r>
      <w:r w:rsidRPr="003E59E1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3E59E1">
        <w:rPr>
          <w:rFonts w:ascii="Times New Roman" w:hAnsi="Times New Roman" w:cs="Times New Roman"/>
          <w:b/>
          <w:sz w:val="28"/>
          <w:szCs w:val="28"/>
        </w:rPr>
        <w:t>:</w:t>
      </w:r>
      <w:r w:rsidRPr="003E59E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>В статье исследуются процессы трансформации современных партийных систем под влиянием цифровых технологий. Проводится сравнительный анализ изменений в организационной структуре, методах коммуникации и стратегиях политических партий в различных странах. Особое внимание уделяется проблеме кризиса традиционных партий и возникновению новых форм политической мобилизации в цифровую эпоху.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E59E1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9E1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1C51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59E1" w:rsidRDefault="003E59E1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партийные системы</w:t>
      </w:r>
    </w:p>
    <w:p w:rsidR="003E59E1" w:rsidRDefault="003E59E1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</w:p>
    <w:p w:rsidR="003E59E1" w:rsidRDefault="003E59E1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политические партии</w:t>
      </w:r>
    </w:p>
    <w:p w:rsidR="003E59E1" w:rsidRDefault="003E59E1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электронное участие</w:t>
      </w:r>
    </w:p>
    <w:p w:rsidR="001C5103" w:rsidRPr="001C5103" w:rsidRDefault="003E59E1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C5103" w:rsidRPr="001C5103">
        <w:rPr>
          <w:rFonts w:ascii="Times New Roman" w:hAnsi="Times New Roman" w:cs="Times New Roman"/>
          <w:sz w:val="28"/>
          <w:szCs w:val="28"/>
        </w:rPr>
        <w:t xml:space="preserve"> сравнительная политология.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 Введение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Цифровая революция коренным образом изменяет традиционные механизмы функционирования политических партий. Современные партийные системы сталкиваются с необходимостью адаптации к новым условиям цифровой коммуникации и меняющимся запросам электората.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Цель исследования - выявить основные тенденции трансформации партийных систем в условиях </w:t>
      </w:r>
      <w:proofErr w:type="spellStart"/>
      <w:r w:rsidRPr="001C5103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1C5103">
        <w:rPr>
          <w:rFonts w:ascii="Times New Roman" w:hAnsi="Times New Roman" w:cs="Times New Roman"/>
          <w:sz w:val="28"/>
          <w:szCs w:val="28"/>
        </w:rPr>
        <w:t xml:space="preserve"> и оценить перспективы развития партий как политических институтов.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 1. Теоретические основы изучения партийных систем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 1.1. Эволюция партийных систем в XX-XXI веках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>Анализ классических типологий партийных систем (</w:t>
      </w:r>
      <w:proofErr w:type="spellStart"/>
      <w:r w:rsidRPr="001C5103">
        <w:rPr>
          <w:rFonts w:ascii="Times New Roman" w:hAnsi="Times New Roman" w:cs="Times New Roman"/>
          <w:sz w:val="28"/>
          <w:szCs w:val="28"/>
        </w:rPr>
        <w:t>Дюверже</w:t>
      </w:r>
      <w:proofErr w:type="spellEnd"/>
      <w:r w:rsidRPr="001C51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C5103">
        <w:rPr>
          <w:rFonts w:ascii="Times New Roman" w:hAnsi="Times New Roman" w:cs="Times New Roman"/>
          <w:sz w:val="28"/>
          <w:szCs w:val="28"/>
        </w:rPr>
        <w:t>Сартори</w:t>
      </w:r>
      <w:proofErr w:type="spellEnd"/>
      <w:r w:rsidRPr="001C5103">
        <w:rPr>
          <w:rFonts w:ascii="Times New Roman" w:hAnsi="Times New Roman" w:cs="Times New Roman"/>
          <w:sz w:val="28"/>
          <w:szCs w:val="28"/>
        </w:rPr>
        <w:t xml:space="preserve">) и их адаптация к современным условиям (Иванов, 2019).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 1.2. Кризис традиционных партий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Факторы снижения влияния массовых партий: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- Падение партийной идентификации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lastRenderedPageBreak/>
        <w:t xml:space="preserve">- Рост протестных настроений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- Фрагментация политического пространства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 2. Цифровая трансформация партийных систем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 2.1. Новые формы партийной организации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- Платформенные партии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- Сетевые структуры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- Гибридные организационные модели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 2.2. Изменение стратегий коммуникации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- Цифровые избирательные кампании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- Использование </w:t>
      </w:r>
      <w:proofErr w:type="spellStart"/>
      <w:r w:rsidRPr="001C5103">
        <w:rPr>
          <w:rFonts w:ascii="Times New Roman" w:hAnsi="Times New Roman" w:cs="Times New Roman"/>
          <w:sz w:val="28"/>
          <w:szCs w:val="28"/>
        </w:rPr>
        <w:t>big</w:t>
      </w:r>
      <w:proofErr w:type="spellEnd"/>
      <w:r w:rsidRPr="001C5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103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Pr="001C510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C5103">
        <w:rPr>
          <w:rFonts w:ascii="Times New Roman" w:hAnsi="Times New Roman" w:cs="Times New Roman"/>
          <w:sz w:val="28"/>
          <w:szCs w:val="28"/>
        </w:rPr>
        <w:t>микротаргетинга</w:t>
      </w:r>
      <w:proofErr w:type="spellEnd"/>
      <w:r w:rsidRPr="001C510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- Роль социальных сетей в партийном строительстве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 3. Сравнительный анализ национальных моделей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 3.1. Европейский опыт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1C5103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1C5103">
        <w:rPr>
          <w:rFonts w:ascii="Times New Roman" w:hAnsi="Times New Roman" w:cs="Times New Roman"/>
          <w:sz w:val="28"/>
          <w:szCs w:val="28"/>
        </w:rPr>
        <w:t>Партии</w:t>
      </w:r>
      <w:r w:rsidRPr="001C5103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1C5103">
        <w:rPr>
          <w:rFonts w:ascii="Times New Roman" w:hAnsi="Times New Roman" w:cs="Times New Roman"/>
          <w:sz w:val="28"/>
          <w:szCs w:val="28"/>
        </w:rPr>
        <w:t>платформы</w:t>
      </w:r>
      <w:r w:rsidRPr="001C5103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1C5103">
        <w:rPr>
          <w:rFonts w:ascii="Times New Roman" w:hAnsi="Times New Roman" w:cs="Times New Roman"/>
          <w:sz w:val="28"/>
          <w:szCs w:val="28"/>
          <w:lang w:val="en-US"/>
        </w:rPr>
        <w:t>Podemos</w:t>
      </w:r>
      <w:proofErr w:type="spellEnd"/>
      <w:r w:rsidRPr="001C510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1C5103">
        <w:rPr>
          <w:rFonts w:ascii="Times New Roman" w:hAnsi="Times New Roman" w:cs="Times New Roman"/>
          <w:sz w:val="28"/>
          <w:szCs w:val="28"/>
          <w:lang w:val="en-US"/>
        </w:rPr>
        <w:t>Movimento</w:t>
      </w:r>
      <w:proofErr w:type="spellEnd"/>
      <w:r w:rsidRPr="001C5103">
        <w:rPr>
          <w:rFonts w:ascii="Times New Roman" w:hAnsi="Times New Roman" w:cs="Times New Roman"/>
          <w:sz w:val="28"/>
          <w:szCs w:val="28"/>
          <w:lang w:val="en-US"/>
        </w:rPr>
        <w:t xml:space="preserve"> 5 </w:t>
      </w:r>
      <w:proofErr w:type="spellStart"/>
      <w:r w:rsidRPr="001C5103">
        <w:rPr>
          <w:rFonts w:ascii="Times New Roman" w:hAnsi="Times New Roman" w:cs="Times New Roman"/>
          <w:sz w:val="28"/>
          <w:szCs w:val="28"/>
          <w:lang w:val="en-US"/>
        </w:rPr>
        <w:t>Stelle</w:t>
      </w:r>
      <w:proofErr w:type="spellEnd"/>
      <w:r w:rsidRPr="001C5103">
        <w:rPr>
          <w:rFonts w:ascii="Times New Roman" w:hAnsi="Times New Roman" w:cs="Times New Roman"/>
          <w:sz w:val="28"/>
          <w:szCs w:val="28"/>
          <w:lang w:val="en-US"/>
        </w:rPr>
        <w:t xml:space="preserve">)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- Трансформация традиционных партий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 3.2. Российская специфика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- Эволюция партийной системы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- Цифровые технологии в работе партий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- Перспективы развития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 Заключение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Цифровая трансформация приводит к фундаментальным изменениям в организации и функционировании партийных систем. Будущее политических партий связано с их способностью адаптироваться к новым цифровым реалиям, сохраняя при этом связь с традиционным электоратом.  </w:t>
      </w:r>
    </w:p>
    <w:p w:rsidR="001C5103" w:rsidRDefault="001C51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 Список литературы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1. Иванов А.В. (2019). Современные партийные системы: теория и практика. М.: Аспект Пресс.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2. Петрова Е.С. (2020). Цифровая трансформация политических партий. </w:t>
      </w:r>
      <w:proofErr w:type="gramStart"/>
      <w:r w:rsidRPr="001C5103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1C5103">
        <w:rPr>
          <w:rFonts w:ascii="Times New Roman" w:hAnsi="Times New Roman" w:cs="Times New Roman"/>
          <w:sz w:val="28"/>
          <w:szCs w:val="28"/>
        </w:rPr>
        <w:t xml:space="preserve"> Питер.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3. Сидоров Н.К. (2021). Сравнительный анализ партийных систем. М.: Весь Мир.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5103">
        <w:rPr>
          <w:rFonts w:ascii="Times New Roman" w:hAnsi="Times New Roman" w:cs="Times New Roman"/>
          <w:sz w:val="28"/>
          <w:szCs w:val="28"/>
        </w:rPr>
        <w:t xml:space="preserve">4. Фролов Д.Е. (2022). Политические партии в цифровую эпоху. М.: Издательство МГУ.  </w:t>
      </w:r>
    </w:p>
    <w:p w:rsidR="001C5103" w:rsidRPr="001C5103" w:rsidRDefault="001C5103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7150C" w:rsidRPr="001C5103" w:rsidRDefault="0077150C" w:rsidP="001C5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77150C" w:rsidRPr="001C5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BBD"/>
    <w:rsid w:val="001C5103"/>
    <w:rsid w:val="003A1BBD"/>
    <w:rsid w:val="003E59E1"/>
    <w:rsid w:val="0077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0CFC8D-90BF-48A1-A0A6-ECEE072A4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3</cp:revision>
  <dcterms:created xsi:type="dcterms:W3CDTF">2002-01-11T22:33:00Z</dcterms:created>
  <dcterms:modified xsi:type="dcterms:W3CDTF">2002-01-11T23:04:00Z</dcterms:modified>
</cp:coreProperties>
</file>