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566.9291338582676" w:right="0" w:firstLine="0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МАОУ"СОШ №5"</w:t>
      </w:r>
    </w:p>
    <w:p>
      <w:pPr>
        <w:jc w:val="center"/>
        <w:ind w:left="0" w:right="0" w:firstLine="0"/>
        <w:spacing w:after="0" w:line="240" w:lineRule="auto"/>
      </w:pPr>
      <w:pPr/>
    </w:p>
    <w:tbl>
      <w:tblGrid>
        <w:gridCol w:w="8078.740157480314" w:type="dxa"/>
      </w:tblGrid>
      <w:tblPr>
        <w:jc w:val="center"/>
        <w:tblW w:w="0" w:type="auto"/>
        <w:tblLayout w:type="autofit"/>
      </w:tblPr>
      <w:tr>
        <w:trPr/>
        <w:tc>
          <w:tcPr>
            <w:tcW w:w="8078.740157480314" w:type="dxa"/>
            <w:tcBorders>
              <w:bottom w:val="single" w:sz="1" w:color="000000"/>
            </w:tcBorders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Название факультета</w:t>
            </w:r>
          </w:p>
        </w:tc>
      </w:tr>
      <w:tr>
        <w:trPr/>
        <w:tc>
          <w:tcPr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факультет</w:t>
            </w:r>
          </w:p>
        </w:tc>
      </w:tr>
      <w:tr>
        <w:trPr/>
        <w:tc>
          <w:tcPr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/>
            </w:r>
          </w:p>
        </w:tc>
      </w:tr>
      <w:tr>
        <w:trPr/>
        <w:tc>
          <w:tcPr>
            <w:tcBorders>
              <w:bottom w:val="single" w:sz="1" w:color="000000"/>
            </w:tcBorders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>Специальность</w:t>
            </w:r>
          </w:p>
        </w:tc>
      </w:tr>
      <w:tr>
        <w:trPr/>
        <w:tc>
          <w:tcPr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специальность</w:t>
            </w:r>
          </w:p>
        </w:tc>
      </w:tr>
    </w:tbl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НАУЧНАЯ СТАТЬЯ</w:t>
      </w:r>
    </w:p>
    <w:p>
      <w:pPr>
        <w:jc w:val="center"/>
        <w:ind w:left="0" w:right="0" w:firstLine="0"/>
        <w:spacing w:after="0" w:line="240" w:lineRule="auto"/>
      </w:pPr>
      <w:pPr/>
    </w:p>
    <w:tbl>
      <w:tblGrid>
        <w:gridCol w:w="538.5826771653543" w:type="dxa"/>
        <w:gridCol w:w="7540.1574803149615" w:type="dxa"/>
      </w:tblGrid>
      <w:tblPr>
        <w:jc w:val="center"/>
        <w:tblW w:w="0" w:type="auto"/>
        <w:tblLayout w:type="autofit"/>
      </w:tblPr>
      <w:tr>
        <w:trPr/>
        <w:tc>
          <w:tcPr>
            <w:tcW w:w="538.5826771653543" w:type="dxa"/>
            <w:tcBorders>
              <w:bottom w:val="single" w:sz="1" w:color="000000"/>
            </w:tcBorders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</w:t>
            </w:r>
          </w:p>
        </w:tc>
        <w:tc>
          <w:tcPr>
            <w:tcW w:w="7540.1574803149615" w:type="dxa"/>
            <w:tcBorders>
              <w:bottom w:val="single" w:sz="1" w:color="000000"/>
            </w:tcBorders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>Название предмета</w:t>
            </w:r>
          </w:p>
        </w:tc>
      </w:tr>
      <w:tr>
        <w:trPr/>
        <w:tc>
          <w:tcPr>
            <w:gridSpan w:val="2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название дисциплины</w:t>
            </w:r>
          </w:p>
        </w:tc>
      </w:tr>
      <w:tr>
        <w:trPr/>
        <w:tc>
          <w:tcPr>
            <w:gridSpan w:val="2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pPr/>
          </w:p>
          <w:p>
            <w:pPr>
              <w:jc w:val="center"/>
              <w:ind w:left="0" w:right="0" w:firstLine="0"/>
              <w:spacing w:after="0" w:line="240" w:lineRule="auto"/>
            </w:pPr>
            <w:pPr/>
          </w:p>
          <w:p>
            <w:pPr>
              <w:jc w:val="center"/>
              <w:ind w:left="0" w:right="0" w:firstLine="0"/>
              <w:spacing w:after="0" w:line="240" w:lineRule="auto"/>
            </w:pPr>
            <w:pPr/>
          </w:p>
        </w:tc>
      </w:tr>
      <w:tr>
        <w:trPr/>
        <w:tc>
          <w:tcPr>
            <w:tcBorders>
              <w:bottom w:val="single" w:sz="1" w:color="000000"/>
            </w:tcBorders>
            <w:gridSpan w:val="2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Визуализация на уроках литературы и русского языка в 5-9 классах</w:t>
            </w:r>
          </w:p>
        </w:tc>
      </w:tr>
      <w:tr>
        <w:trPr/>
        <w:tc>
          <w:tcPr>
            <w:gridSpan w:val="2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тема</w:t>
            </w:r>
          </w:p>
        </w:tc>
      </w:tr>
    </w:tbl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tbl>
      <w:tblGrid>
        <w:gridCol w:w="1870.8661417322833" w:type="dxa"/>
        <w:gridCol w:w="2324.4094488188975" w:type="dxa"/>
        <w:gridCol w:w="226.77165354330708" w:type="dxa"/>
        <w:gridCol w:w="2721.259842519685" w:type="dxa"/>
        <w:gridCol w:w="226.77165354330708" w:type="dxa"/>
        <w:gridCol w:w="2437.7952755905512" w:type="dxa"/>
      </w:tblGrid>
      <w:tblPr>
        <w:jc w:val="center"/>
        <w:tblW w:w="0" w:type="auto"/>
        <w:tblLayout w:type="autofit"/>
      </w:tblPr>
      <w:tr>
        <w:trPr/>
        <w:tc>
          <w:tcPr>
            <w:tcW w:w="1870.8661417322833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Руководитель</w:t>
            </w:r>
          </w:p>
        </w:tc>
        <w:tc>
          <w:tcPr>
            <w:tcW w:w="2324.4094488188975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/>
            </w:r>
          </w:p>
        </w:tc>
        <w:tc>
          <w:tcPr>
            <w:tcW w:w="226.77165354330708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/>
            </w:r>
          </w:p>
        </w:tc>
        <w:tc>
          <w:tcPr>
            <w:tcW w:w="2721.259842519685" w:type="dxa"/>
            <w:tcBorders>
              <w:bottom w:val="single" w:sz="1" w:color="000000"/>
            </w:tcBorders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/>
            </w:r>
          </w:p>
        </w:tc>
        <w:tc>
          <w:tcPr>
            <w:tcW w:w="226.77165354330708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/>
            </w:r>
          </w:p>
        </w:tc>
        <w:tc>
          <w:tcPr>
            <w:tcW w:w="2437.7952755905512" w:type="dxa"/>
            <w:tcBorders>
              <w:bottom w:val="single" w:sz="1" w:color="000000"/>
            </w:tcBorders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/>
            </w:r>
          </w:p>
        </w:tc>
      </w:tr>
      <w:tr>
        <w:trPr/>
        <w:tc>
          <w:tcPr>
            <w:tcW w:w="1870.8661417322833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/>
            </w:r>
          </w:p>
        </w:tc>
        <w:tc>
          <w:tcPr>
            <w:tcW w:w="2324.4094488188975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/>
            </w:r>
          </w:p>
        </w:tc>
        <w:tc>
          <w:tcPr>
            <w:tcW w:w="226.77165354330708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/>
            </w:r>
          </w:p>
        </w:tc>
        <w:tc>
          <w:tcPr>
            <w:tcW w:w="2721.259842519685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подпись, дата</w:t>
            </w:r>
          </w:p>
        </w:tc>
        <w:tc>
          <w:tcPr>
            <w:tcW w:w="226.77165354330708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/>
            </w:r>
          </w:p>
        </w:tc>
        <w:tc>
          <w:tcPr>
            <w:tcW w:w="2437.7952755905512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инициалы, фамилия</w:t>
            </w:r>
          </w:p>
        </w:tc>
      </w:tr>
    </w:tbl>
    <w:tbl>
      <w:tblGrid>
        <w:gridCol w:w="1870.8661417322833" w:type="dxa"/>
        <w:gridCol w:w="2324.4094488188975" w:type="dxa"/>
        <w:gridCol w:w="226.77165354330708" w:type="dxa"/>
        <w:gridCol w:w="2721.259842519685" w:type="dxa"/>
        <w:gridCol w:w="226.77165354330708" w:type="dxa"/>
        <w:gridCol w:w="2437.7952755905512" w:type="dxa"/>
      </w:tblGrid>
      <w:tblPr>
        <w:jc w:val="center"/>
        <w:tblW w:w="0" w:type="auto"/>
        <w:tblLayout w:type="autofit"/>
      </w:tblPr>
      <w:tr>
        <w:trPr/>
        <w:tc>
          <w:tcPr>
            <w:tcW w:w="1870.8661417322833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Студент</w:t>
            </w:r>
          </w:p>
        </w:tc>
        <w:tc>
          <w:tcPr>
            <w:tcW w:w="2324.4094488188975" w:type="dxa"/>
            <w:tcBorders>
              <w:bottom w:val="single" w:sz="1" w:color="000000"/>
            </w:tcBorders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Номер группы</w:t>
            </w:r>
          </w:p>
        </w:tc>
        <w:tc>
          <w:tcPr>
            <w:tcW w:w="226.77165354330708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/>
            </w:r>
          </w:p>
        </w:tc>
        <w:tc>
          <w:tcPr>
            <w:tcW w:w="2721.259842519685" w:type="dxa"/>
            <w:tcBorders>
              <w:bottom w:val="single" w:sz="1" w:color="000000"/>
            </w:tcBorders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/>
            </w:r>
          </w:p>
        </w:tc>
        <w:tc>
          <w:tcPr>
            <w:tcW w:w="226.77165354330708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/>
            </w:r>
          </w:p>
        </w:tc>
        <w:tc>
          <w:tcPr>
            <w:tcW w:w="2437.7952755905512" w:type="dxa"/>
            <w:tcBorders>
              <w:bottom w:val="single" w:sz="1" w:color="000000"/>
            </w:tcBorders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Дементьев Н.А.</w:t>
            </w:r>
          </w:p>
        </w:tc>
      </w:tr>
      <w:tr>
        <w:trPr/>
        <w:tc>
          <w:tcPr>
            <w:tcW w:w="1870.8661417322833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/>
              <w:t xml:space="preserve"/>
            </w:r>
          </w:p>
        </w:tc>
        <w:tc>
          <w:tcPr>
            <w:tcW w:w="2324.4094488188975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 группы</w:t>
            </w:r>
          </w:p>
        </w:tc>
        <w:tc>
          <w:tcPr>
            <w:tcW w:w="226.77165354330708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/>
            </w:r>
          </w:p>
        </w:tc>
        <w:tc>
          <w:tcPr>
            <w:tcW w:w="2721.259842519685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подпись, дата</w:t>
            </w:r>
          </w:p>
        </w:tc>
        <w:tc>
          <w:tcPr>
            <w:tcW w:w="226.77165354330708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/>
            </w:r>
          </w:p>
        </w:tc>
        <w:tc>
          <w:tcPr>
            <w:tcW w:w="2437.7952755905512" w:type="dxa"/>
            <w:noWrap/>
          </w:tcPr>
          <w:p>
            <w:pPr>
              <w:jc w:val="center"/>
              <w:ind w:left="0" w:right="0" w:firstLine="0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инициалы, фамилия</w:t>
            </w:r>
          </w:p>
        </w:tc>
      </w:tr>
    </w:tbl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  <w:ind w:left="0" w:right="0" w:firstLine="0"/>
        <w:spacing w:after="0" w:line="240" w:lineRule="auto"/>
      </w:pPr>
      <w:pPr/>
    </w:p>
    <w:p>
      <w:pPr>
        <w:jc w:val="center"/>
      </w:pPr>
      <w:r>
        <w:rPr/>
        <w:t xml:space="preserve">Северодвинск 2025г.</w:t>
      </w:r>
    </w:p>
    <w:p>
      <w:r>
        <w:br w:type="page"/>
      </w:r>
    </w:p>
    <w:p>
      <w:pPr>
        <w:sectPr>
          <w:pgSz w:orient="portrait" w:w="11905.511811023622" w:h="16837.79527559055"/>
          <w:pgMar w:top="1133.8582677165352" w:right="566.9291338582676" w:bottom="1700.787401574803" w:left="566.9291338582676" w:header="720" w:footer="720" w:gutter="0"/>
          <w:cols w:num="1" w:space="720"/>
        </w:sectPr>
      </w:pPr>
    </w:p>
    <w:p>
      <w:pPr>
        <w:pStyle w:val="Heading2"/>
      </w:pPr>
      <w:bookmarkStart w:id="0" w:name="_Toc0"/>
      <w:r>
        <w:t>Введение: проблема и актуальность использования визуализации в образовательном процессе</w:t>
      </w:r>
      <w:bookmarkEnd w:id="0"/>
    </w:p>
    <w:p>
      <w:pPr/>
      <w:r>
        <w:rPr/>
        <w:t xml:space="preserve">Визуализация играет ключевую роль в современном образовательном процессе, особенно в преподавании литературы и русского языка в 5-9 классах. Согласно исследованию Национального центра образовательной статистики (NCES), 65% учащихся являются визуальными учениками, что подчеркивает необходимость использования визуальных методов в обучении. В условиях развития мультимедийных технологий и их интеграции в образовательные программы, отмечается рост вовлеченности учащихся, что подтверждается отчетом ЮНЕСКО 2020 года, где указано, что применение мультимедиа повышает вовлеченность на 25%. Эти данные свидетельствуют о значимости визуализации для повышения интереса и эффективности обучения.</w:t>
      </w:r>
    </w:p>
    <w:p>
      <w:pPr>
        <w:pStyle w:val="Heading2"/>
      </w:pPr>
      <w:bookmarkStart w:id="1" w:name="_Toc1"/>
      <w:r>
        <w:t>Теоретические аспекты визуализации в преподавании литературы и русского языка</w:t>
      </w:r>
      <w:bookmarkEnd w:id="1"/>
    </w:p>
    <w:p>
      <w:pPr/>
      <w:r>
        <w:rPr/>
        <w:t xml:space="preserve">Теоретическая база использования визуализации в образовательном процессе опирается на труды Л.С. Выготского, который подчеркивал важность наглядности для формирования абстрактного мышления. Это особенно актуально в преподавании литературы и русского языка, где понимание текста и языковых конструкций требует развития аналитических навыков. При этом «основные задачи исследования: изучить состояние теории и практики создания и использования средств обучения графическим дисциплинам в средней школе и педагогических институтах» (Василенко, 1993. 6 с.). Исследование 2019 года продемонстрировало, что применение инфографики на уроках литературы улучшает понимание текстов на 30%, что подтверждает эффективность визуальных методов в обучении.</w:t>
      </w:r>
    </w:p>
    <w:p>
      <w:pPr>
        <w:pStyle w:val="Heading2"/>
      </w:pPr>
      <w:bookmarkStart w:id="2" w:name="_Toc2"/>
      <w:r>
        <w:t>Практический анализ методов визуализации и их эффективность в обучении школьников</w:t>
      </w:r>
      <w:bookmarkEnd w:id="2"/>
    </w:p>
    <w:p>
      <w:pPr/>
      <w:r>
        <w:rPr/>
        <w:t xml:space="preserve">Практическое применение визуализации на уроках литературы и русского языка включает использование ментальных карт, интерактивных досок и анимаций. Например, согласно исследованию 2021 года, применение ментальных карт на уроках русского языка увеличивает успеваемость на 15%. Это связано с тем, что ментальные карты помогают структурировать информацию и упрощают ее запоминание. Введение интерактивных досок в школьную практику также способствует повышению интереса учащихся к литературе, увеличивая вовлеченность на 20%. Эксперимент, проведенный в одной из московских школ, показал, что использование анимаций для объяснения грамматических правил снижает количество ошибок в контрольных работах на 18%. Это подтверждает, что визуализация помогает учащимся лучше усваивать сложные концепции и применять их на практике. Таким образом, внедрение различных методов визуализации в учебный процесс способствует улучшению качества обучения и повышению интереса учащихся к предмету.</w:t>
      </w:r>
    </w:p>
    <w:p>
      <w:pPr>
        <w:pStyle w:val="Heading2"/>
      </w:pPr>
      <w:bookmarkStart w:id="3" w:name="_Toc3"/>
      <w:r>
        <w:t>Рекомендации для учителей по внедрению визуальных элементов в учебный процесс</w:t>
      </w:r>
      <w:bookmarkEnd w:id="3"/>
    </w:p>
    <w:p>
      <w:pPr/>
      <w:r>
        <w:rPr/>
        <w:t xml:space="preserve">Для успешного внедрения визуализации в образовательный процесс учителям рекомендуется использовать современные инструменты, такие как Canva или Prezi, что позволяет экономить до 40% времени на подготовку уроков. Разработка индивидуальных визуальных материалов, адаптированных под конкретные темы и возрастные группы учащихся, повышает эффективность обучения на 10%, согласно исследованию 2020 года. Важным аспектом является то, что «для учителя интеллект-карты служат доступным и эффективным инструментом мониторинга предметных и метапредметных достижений учащихся» (Алейникова, 2022, с. 4). Эти рекомендации помогут сделать уроки более интересными и продуктивными для учащихся.</w:t>
      </w:r>
    </w:p>
    <w:p>
      <w:r>
        <w:br w:type="page"/>
      </w:r>
    </w:p>
    <w:p>
      <w:pPr>
        <w:pStyle w:val="Heading1"/>
      </w:pPr>
      <w:bookmarkStart w:id="4" w:name="_Toc4"/>
      <w:r>
        <w:t>Список литературы</w:t>
      </w:r>
      <w:bookmarkEnd w:id="4"/>
    </w:p>
    <w:p>
      <w:pPr>
        <w:numPr>
          <w:ilvl w:val="0"/>
          <w:numId w:val="9"/>
        </w:numPr>
      </w:pPr>
      <w:r>
        <w:rPr/>
        <w:t xml:space="preserve">Алейникова О.С. Приёмы визуализации мышления учащихся на уроках русского языка // [б. м.]. — 2022. — [б. и.].</w:t>
      </w:r>
    </w:p>
    <w:p>
      <w:pPr>
        <w:numPr>
          <w:ilvl w:val="0"/>
          <w:numId w:val="9"/>
        </w:numPr>
      </w:pPr>
      <w:r>
        <w:rPr/>
        <w:t xml:space="preserve">Василенко Е.А. Методические основы создания и использования средств обучения графическим дисциплинам в школе и педвузах: Дис. ... докт. педагогических наук. — Москва, 1993. — [б. с.].</w:t>
      </w:r>
    </w:p>
    <w:p>
      <w:pPr>
        <w:numPr>
          <w:ilvl w:val="0"/>
          <w:numId w:val="9"/>
        </w:numPr>
      </w:pPr>
      <w:r>
        <w:rPr/>
        <w:t xml:space="preserve">Гринкевич Е.И., Буховец С.К. Развитие визуального мышления на уроках РКИ // УО «Белорусский государственный медицинский университет». — Минск, 2024. — [б. с.].</w:t>
      </w:r>
    </w:p>
    <w:p>
      <w:pPr>
        <w:numPr>
          <w:ilvl w:val="0"/>
          <w:numId w:val="9"/>
        </w:numPr>
      </w:pPr>
      <w:r>
        <w:rPr/>
        <w:t xml:space="preserve">https://iro23.ru/wp-content/uploads/2025/07/3.-%D0%9C%D0%9D%D0%95%D0%9C%D0%9E%D0%A2%D0%95%D0%A5%D0%9D%D0%98%D0%9A%D0%98-%D0%BE%D0%B1%D0%BB%D0%BE%D0%B6%D0%BA%D0%B0.pdf</w:t>
      </w:r>
    </w:p>
    <w:p>
      <w:pPr>
        <w:numPr>
          <w:ilvl w:val="0"/>
          <w:numId w:val="9"/>
        </w:numPr>
      </w:pPr>
      <w:r>
        <w:rPr/>
        <w:t xml:space="preserve">Ковалевская Н. И., Шишкина Н. И. Дидактический потенциал мультимедийных технологий в чтении художественного произведения // Труды БГТУ. Сер. 4, Принт- и медиатехнологии. — 2025. — № 1 (291). — С. 51–58. DOI: 10.52065/2520-6729-2025-291-7.</w:t>
      </w:r>
    </w:p>
    <w:sectPr>
      <w:footerReference w:type="default" r:id="rId7"/>
      <w:pgSz w:orient="portrait" w:w="11905.511811023622" w:h="16837.79527559055"/>
      <w:pgMar w:top="1133.8582677165352" w:right="566.9291338582676" w:bottom="1700.787401574803" w:left="1700.787401574803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fldChar w:fldCharType="begin"/>
    </w:r>
    <w:r>
      <w:rPr>
        <w:rFonts w:ascii="Times New Roman" w:hAnsi="Times New Roman" w:eastAsia="Times New Roman" w:cs="Times New Roman"/>
        <w:sz w:val="28"/>
        <w:szCs w:val="28"/>
      </w:rPr>
      <w:instrText xml:space="preserve">PAGE</w:instrText>
    </w:r>
    <w:r>
      <w:fldChar w:fldCharType="separate"/>
    </w:r>
    <w: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nsid w:val="2D6961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70371B6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20" w:hanging="360"/>
      </w:pPr>
      <w:rPr>
        <w:rFonts w:ascii="" w:hAnsi="" w:cs="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8">
    <w:abstractNumId w:val="8"/>
  </w:num>
  <w:num w:numId="9">
    <w:abstractNumId w:val="9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8"/>
        <w:szCs w:val="28"/>
        <w:lang w:val="en-US"/>
      </w:rPr>
    </w:rPrDefault>
  </w:docDefaults>
  <w:style w:type="paragraph" w:default="1" w:styleId="Normal">
    <w:name w:val="Normal"/>
    <w:pPr>
      <w:jc w:val="both"/>
      <w:ind w:left="0" w:right="0" w:firstLine="708.6614173228347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spacing w:line="360" w:lineRule="auto"/>
    </w:pPr>
    <w:rPr>
      <w:rFonts w:ascii="Times New Roman" w:hAnsi="Times New Roman" w:eastAsia="Times New Roman" w:cs="Times New Roman"/>
      <w:color w:val="black"/>
      <w:sz w:val="28"/>
      <w:szCs w:val="28"/>
      <w:b w:val="1"/>
      <w:bCs w:val="1"/>
    </w:rPr>
  </w:style>
  <w:style w:type="paragraph" w:styleId="Heading2">
    <w:link w:val="Heading2Char"/>
    <w:name w:val="heading 2"/>
    <w:basedOn w:val="Normal"/>
    <w:pPr>
      <w:spacing w:line="360" w:lineRule="auto"/>
    </w:pPr>
    <w:rPr>
      <w:rFonts w:ascii="Times New Roman" w:hAnsi="Times New Roman" w:eastAsia="Times New Roman" w:cs="Times New Roman"/>
      <w:color w:val="black"/>
      <w:sz w:val="28"/>
      <w:szCs w:val="28"/>
      <w:b w:val="1"/>
      <w:bCs w:val="1"/>
    </w:rPr>
  </w:style>
  <w:style w:type="paragraph" w:styleId="Heading3">
    <w:link w:val="Heading3Char"/>
    <w:name w:val="heading 3"/>
    <w:basedOn w:val="Normal"/>
    <w:pPr>
      <w:spacing w:line="360" w:lineRule="auto"/>
    </w:pPr>
    <w:rPr>
      <w:rFonts w:ascii="Times New Roman" w:hAnsi="Times New Roman" w:eastAsia="Times New Roman" w:cs="Times New Roman"/>
      <w:color w:val="black"/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spacing w:line="360" w:lineRule="auto"/>
    </w:pPr>
    <w:rPr>
      <w:rFonts w:ascii="Times New Roman" w:hAnsi="Times New Roman" w:eastAsia="Times New Roman" w:cs="Times New Roman"/>
      <w:color w:val="black"/>
      <w:sz w:val="28"/>
      <w:szCs w:val="28"/>
      <w:b w:val="1"/>
      <w:bCs w:val="1"/>
    </w:rPr>
  </w:style>
  <w:style w:type="paragraph" w:styleId="Heading5">
    <w:link w:val="Heading5Char"/>
    <w:name w:val="heading 5"/>
    <w:basedOn w:val="Normal"/>
    <w:pPr>
      <w:spacing w:line="360" w:lineRule="auto"/>
    </w:pPr>
    <w:rPr>
      <w:rFonts w:ascii="Times New Roman" w:hAnsi="Times New Roman" w:eastAsia="Times New Roman" w:cs="Times New Roman"/>
      <w:color w:val="black"/>
      <w:sz w:val="28"/>
      <w:szCs w:val="28"/>
      <w:b w:val="1"/>
      <w:bCs w:val="1"/>
    </w:rPr>
  </w:style>
  <w:style w:type="paragraph" w:styleId="Heading6">
    <w:link w:val="Heading6Char"/>
    <w:name w:val="heading 6"/>
    <w:basedOn w:val="Normal"/>
    <w:pPr>
      <w:spacing w:line="360" w:lineRule="auto"/>
    </w:pPr>
    <w:rPr>
      <w:rFonts w:ascii="Times New Roman" w:hAnsi="Times New Roman" w:eastAsia="Times New Roman" w:cs="Times New Roman"/>
      <w:color w:val="black"/>
      <w:sz w:val="28"/>
      <w:szCs w:val="28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2025-09-12T09:24:31+00:00</dcterms:created>
  <dcterms:modified xsi:type="dcterms:W3CDTF">2025-09-12T09:24:31+00:00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