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0B039" w14:textId="77777777" w:rsidR="002242F3" w:rsidRPr="002242F3" w:rsidRDefault="002242F3" w:rsidP="002242F3">
      <w:pPr>
        <w:shd w:val="clear" w:color="auto" w:fill="FFFFFF"/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2242F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Коррекционно-педагогическая работа по развитию зрительного восприятия у старших дошкольников с нарушением интеллекта</w:t>
      </w:r>
    </w:p>
    <w:p w14:paraId="3FE53BAC" w14:textId="77777777" w:rsidR="002242F3" w:rsidRPr="002242F3" w:rsidRDefault="002242F3" w:rsidP="002242F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2242F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Аннотация:</w:t>
      </w:r>
      <w:r w:rsidRPr="002242F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 статье рассматривается актуальная проблема развития зрительного восприятия у детей старшего дошкольного возраста с интеллектуальными нарушениями. Зрительное восприятие является базой для формирования высших психических функций, и его несформированность создает серьезные препятствия для познавательного развития и последующего обучения. В работе представлены результаты эмпирического исследования, подтверждающие низкий исходный уровень развития зрительного гнозиса у данной категории детей. Автором разработана и апробирована коррекционно-развивающая программа, основанная на использовании изобразительной деятельности. Сравнительный анализ результатов констатирующего и контрольного этапов эксперимента демонстрирует высокую эффективность предложенного подхода, что доказывает необходимость целенаправленной и систематической работы в данном направлении.</w:t>
      </w:r>
    </w:p>
    <w:p w14:paraId="582EFB77" w14:textId="77777777" w:rsidR="002242F3" w:rsidRPr="002242F3" w:rsidRDefault="002242F3" w:rsidP="002242F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2242F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Ключевые слова:</w:t>
      </w:r>
      <w:r w:rsidRPr="002242F3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зрительное восприятие, интеллектуальные нарушения, старшие дошкольники, сенсорные эталоны, коррекционно-развивающая работа, изобразительная деятельность, сенсорное развитие, специальная педагогика.</w:t>
      </w:r>
    </w:p>
    <w:p w14:paraId="19855ED2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rStyle w:val="a3"/>
          <w:color w:val="0F1115"/>
        </w:rPr>
        <w:t>Введение</w:t>
      </w:r>
    </w:p>
    <w:p w14:paraId="2C9361A7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Современная образовательная парадигма, ориентированная на инклюзию и гуманизацию, актуализирует вопрос создания оптимальных условий для развития, воспитания и обучения детей с ограниченными возможностями здоровья. Среди них особая категория – дети с нарушениями интеллекта, психическое развитие которых, как отмечал Л.С. Выготский, хотя и осуществляется на дефектной основе, тем не менее, возможно и подчиняется общим законам онтогенеза.</w:t>
      </w:r>
    </w:p>
    <w:p w14:paraId="2D160276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Фундаментом познания окружающего мира выступает восприятие, и именно зрительный анализатор предоставляет человеку наиболее полную и разнообразную информацию. У детей с интеллектуальными нарушениями этот процесс имеет специфические особенности: он замедлен, фрагментарен, отличается низкой избирательностью и осмысленностью. Как следствие, формирование таких ключевых для готовности к школе навыков, как анализ изображений, ориентировка в пространстве, усвоение эталонов цвета, формы и величины, происходит с большими трудностями. Это приводит к ошибкам в письме, рисовании, конструировании и осложняет социальную адаптацию.</w:t>
      </w:r>
    </w:p>
    <w:p w14:paraId="4E9222B7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Таким образом, существует очевидное противоречие между острой необходимостью развития зрительного восприятия у дошкольников с интеллектуальной недостаточностью и недостаточной разработанностью эффективных коррекционно-педагогических технологий для решения этой задачи. Данное исследование направлено на разрешение этого противоречия.</w:t>
      </w:r>
    </w:p>
    <w:p w14:paraId="574AA976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rStyle w:val="a3"/>
          <w:color w:val="0F1115"/>
        </w:rPr>
        <w:t>Методы и организация исследования</w:t>
      </w:r>
    </w:p>
    <w:p w14:paraId="6653EBAE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Целью исследования стало изучение особенностей зрительного восприятия у детей старшего дошкольного возраста с нарушением интеллекта и разработка на этой основе эффективной коррекционной программы.</w:t>
      </w:r>
    </w:p>
    <w:p w14:paraId="3C856DEB" w14:textId="1AD8C4C6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lastRenderedPageBreak/>
        <w:t xml:space="preserve">Исследование проводилось на базе МБДОУ детский сад №8 (г. Красногорск). В нем приняли участие 10 детей в возрасте 5,5–6 лет с </w:t>
      </w:r>
      <w:r>
        <w:rPr>
          <w:color w:val="0F1115"/>
        </w:rPr>
        <w:t>нарушением интеллекта</w:t>
      </w:r>
      <w:r w:rsidRPr="002242F3">
        <w:rPr>
          <w:color w:val="0F1115"/>
        </w:rPr>
        <w:t>. Все испытуемые были разделены на экспериментальную (ЭГ) и контрольную (КГ) группы по 5 человек.</w:t>
      </w:r>
    </w:p>
    <w:p w14:paraId="65D6A5F0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Исследование состояло из трех этапов:</w:t>
      </w:r>
    </w:p>
    <w:p w14:paraId="0C4A8657" w14:textId="77777777" w:rsidR="002242F3" w:rsidRPr="002242F3" w:rsidRDefault="002242F3" w:rsidP="002242F3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Констатирующий эксперимент,</w:t>
      </w:r>
      <w:r w:rsidRPr="002242F3">
        <w:rPr>
          <w:color w:val="0F1115"/>
        </w:rPr>
        <w:t> направленный на выявление исходного уровня развития зрительного восприятия.</w:t>
      </w:r>
    </w:p>
    <w:p w14:paraId="2210707A" w14:textId="77777777" w:rsidR="002242F3" w:rsidRPr="002242F3" w:rsidRDefault="002242F3" w:rsidP="002242F3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Формирующий эксперимент,</w:t>
      </w:r>
      <w:r w:rsidRPr="002242F3">
        <w:rPr>
          <w:color w:val="0F1115"/>
        </w:rPr>
        <w:t> в ходе которого с экспериментальной группой проводилась целенаправленная коррекционная работа.</w:t>
      </w:r>
    </w:p>
    <w:p w14:paraId="6BB7CCFD" w14:textId="77777777" w:rsidR="002242F3" w:rsidRPr="002242F3" w:rsidRDefault="002242F3" w:rsidP="002242F3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Контрольный эксперимент,</w:t>
      </w:r>
      <w:r w:rsidRPr="002242F3">
        <w:rPr>
          <w:color w:val="0F1115"/>
        </w:rPr>
        <w:t> задачей которого была оценка эффективности проведенной работы.</w:t>
      </w:r>
    </w:p>
    <w:p w14:paraId="053FE97E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Диагностический инструментарий был адаптирован на основе методик Л.А. Венгера и Е.А. Стребелевой и включал пять блоков заданий:</w:t>
      </w:r>
    </w:p>
    <w:p w14:paraId="7FED49AE" w14:textId="77777777" w:rsidR="002242F3" w:rsidRPr="002242F3" w:rsidRDefault="002242F3" w:rsidP="002242F3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Блок I:</w:t>
      </w:r>
      <w:r w:rsidRPr="002242F3">
        <w:rPr>
          <w:color w:val="0F1115"/>
        </w:rPr>
        <w:t> Изучение восприятия и знания цвета («Разложи по стаканчикам»).</w:t>
      </w:r>
    </w:p>
    <w:p w14:paraId="4D30A048" w14:textId="77777777" w:rsidR="002242F3" w:rsidRPr="002242F3" w:rsidRDefault="002242F3" w:rsidP="002242F3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Блок II:</w:t>
      </w:r>
      <w:r w:rsidRPr="002242F3">
        <w:rPr>
          <w:color w:val="0F1115"/>
        </w:rPr>
        <w:t> Изучение восприятия и знания геометрических форм («Разложи по коробкам»).</w:t>
      </w:r>
    </w:p>
    <w:p w14:paraId="5D81BE99" w14:textId="77777777" w:rsidR="002242F3" w:rsidRPr="002242F3" w:rsidRDefault="002242F3" w:rsidP="002242F3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Блок III:</w:t>
      </w:r>
      <w:r w:rsidRPr="002242F3">
        <w:rPr>
          <w:color w:val="0F1115"/>
        </w:rPr>
        <w:t> Выявление восприятия величины («Собери пирамидку»).</w:t>
      </w:r>
    </w:p>
    <w:p w14:paraId="5579E89E" w14:textId="77777777" w:rsidR="002242F3" w:rsidRPr="002242F3" w:rsidRDefault="002242F3" w:rsidP="002242F3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Блок IV:</w:t>
      </w:r>
      <w:r w:rsidRPr="002242F3">
        <w:rPr>
          <w:color w:val="0F1115"/>
        </w:rPr>
        <w:t> Обследование целостного зрительного восприятия («Собери картинку», «Найди тень»).</w:t>
      </w:r>
    </w:p>
    <w:p w14:paraId="40DDEAF6" w14:textId="77777777" w:rsidR="002242F3" w:rsidRPr="002242F3" w:rsidRDefault="002242F3" w:rsidP="002242F3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Блок V:</w:t>
      </w:r>
      <w:r w:rsidRPr="002242F3">
        <w:rPr>
          <w:color w:val="0F1115"/>
        </w:rPr>
        <w:t> Обследование ориентации в пространстве («Сделай домик»).</w:t>
      </w:r>
    </w:p>
    <w:p w14:paraId="1BA0FA73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Для оценки успешности выполнения заданий были разработаны четкие критерии, позволяющие присвоить каждому ребенку от 0 до 2 баллов за задание. Максимальный общий балл – 20. На основе суммарного балла были выделены три уровня успешности:</w:t>
      </w:r>
    </w:p>
    <w:p w14:paraId="09B4D304" w14:textId="77777777" w:rsidR="002242F3" w:rsidRPr="002242F3" w:rsidRDefault="002242F3" w:rsidP="002242F3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Низкий (0-5 баллов):</w:t>
      </w:r>
      <w:r w:rsidRPr="002242F3">
        <w:rPr>
          <w:color w:val="0F1115"/>
        </w:rPr>
        <w:t> Отсутствие интереса к деятельности, неадекватное поведение.</w:t>
      </w:r>
    </w:p>
    <w:p w14:paraId="790FEDA2" w14:textId="77777777" w:rsidR="002242F3" w:rsidRPr="002242F3" w:rsidRDefault="002242F3" w:rsidP="002242F3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Недостаточный (5-13 баллов):</w:t>
      </w:r>
      <w:r w:rsidRPr="002242F3">
        <w:rPr>
          <w:color w:val="0F1115"/>
        </w:rPr>
        <w:t> Эмоциональный отклик на задания, возможность выполнения по показу, но хаотичность действий и отсутствие переноса навыка.</w:t>
      </w:r>
    </w:p>
    <w:p w14:paraId="731C4DFE" w14:textId="77777777" w:rsidR="002242F3" w:rsidRPr="002242F3" w:rsidRDefault="002242F3" w:rsidP="002242F3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Достаточный (13-20 баллов):</w:t>
      </w:r>
      <w:r w:rsidRPr="002242F3">
        <w:rPr>
          <w:color w:val="0F1115"/>
        </w:rPr>
        <w:t> Проявление устойчивого интереса, способность к самостоятельному выполнению заданий после обучения.</w:t>
      </w:r>
    </w:p>
    <w:p w14:paraId="1FE90A14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rStyle w:val="a3"/>
          <w:color w:val="0F1115"/>
        </w:rPr>
        <w:t>Результаты исследования и их обсуждение</w:t>
      </w:r>
    </w:p>
    <w:p w14:paraId="4A345E08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Результаты констатирующего этапа оказались тревожными: </w:t>
      </w:r>
      <w:r w:rsidRPr="002242F3">
        <w:rPr>
          <w:rStyle w:val="a3"/>
          <w:color w:val="0F1115"/>
        </w:rPr>
        <w:t>ни один из испытуемых не показал достаточного уровня развития зрительного восприятия.</w:t>
      </w:r>
      <w:r w:rsidRPr="002242F3">
        <w:rPr>
          <w:color w:val="0F1115"/>
        </w:rPr>
        <w:t> Распределение было следующим:</w:t>
      </w:r>
    </w:p>
    <w:p w14:paraId="56083EA8" w14:textId="77777777" w:rsidR="002242F3" w:rsidRPr="002242F3" w:rsidRDefault="002242F3" w:rsidP="002242F3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80% детей (8 человек)</w:t>
      </w:r>
      <w:r w:rsidRPr="002242F3">
        <w:rPr>
          <w:color w:val="0F1115"/>
        </w:rPr>
        <w:t> продемонстрировали недостаточный уровень.</w:t>
      </w:r>
    </w:p>
    <w:p w14:paraId="1558A680" w14:textId="77777777" w:rsidR="002242F3" w:rsidRPr="002242F3" w:rsidRDefault="002242F3" w:rsidP="002242F3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20% детей (2 человека)</w:t>
      </w:r>
      <w:r w:rsidRPr="002242F3">
        <w:rPr>
          <w:color w:val="0F1115"/>
        </w:rPr>
        <w:t> показали низкий уровень.</w:t>
      </w:r>
    </w:p>
    <w:p w14:paraId="382E3BCA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Качественный анализ выполнения заданий позволил выявить типичные для группы трудности:</w:t>
      </w:r>
    </w:p>
    <w:p w14:paraId="60B8926B" w14:textId="77777777" w:rsidR="002242F3" w:rsidRPr="002242F3" w:rsidRDefault="002242F3" w:rsidP="002242F3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color w:val="0F1115"/>
        </w:rPr>
        <w:t>Неспособность учитывать сенсорные свойства предметов (цвет, форму, величину) в процессе деятельности.</w:t>
      </w:r>
    </w:p>
    <w:p w14:paraId="23D5EB23" w14:textId="77777777" w:rsidR="002242F3" w:rsidRPr="002242F3" w:rsidRDefault="002242F3" w:rsidP="002242F3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color w:val="0F1115"/>
        </w:rPr>
        <w:t>Выполнение действий только по наглядному показу взрослого при несформированности действий по речевой инструкции.</w:t>
      </w:r>
    </w:p>
    <w:p w14:paraId="60AA7681" w14:textId="77777777" w:rsidR="002242F3" w:rsidRPr="002242F3" w:rsidRDefault="002242F3" w:rsidP="002242F3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color w:val="0F1115"/>
        </w:rPr>
        <w:t>Преобладание хаотичных, несистематических проб при решении задач.</w:t>
      </w:r>
    </w:p>
    <w:p w14:paraId="06911612" w14:textId="77777777" w:rsidR="002242F3" w:rsidRPr="002242F3" w:rsidRDefault="002242F3" w:rsidP="002242F3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color w:val="0F1115"/>
        </w:rPr>
        <w:t>Быстрая утомляемость и потеря интереса к познавательной деятельности.</w:t>
      </w:r>
    </w:p>
    <w:p w14:paraId="070876E7" w14:textId="77777777" w:rsidR="002242F3" w:rsidRPr="002242F3" w:rsidRDefault="002242F3" w:rsidP="002242F3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color w:val="0F1115"/>
        </w:rPr>
        <w:lastRenderedPageBreak/>
        <w:t>Слабость ориентировочно-исследовательской деятельности.</w:t>
      </w:r>
    </w:p>
    <w:p w14:paraId="6AC61E88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На формирующем этапе с экспериментальной группой была реализована специально разработанная коррекционно-развивающая программа, интегрированная в изобразительную деятельность. Программа была структурирована по блокам, соответствующим диагностическим направлениям, и включала такие задания, как:</w:t>
      </w:r>
    </w:p>
    <w:p w14:paraId="72DF4DE4" w14:textId="77777777" w:rsidR="002242F3" w:rsidRPr="002242F3" w:rsidRDefault="002242F3" w:rsidP="002242F3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Цвет:</w:t>
      </w:r>
      <w:r w:rsidRPr="002242F3">
        <w:rPr>
          <w:color w:val="0F1115"/>
        </w:rPr>
        <w:t> «Подбери цветок для бабочки» (раскрашивание поролоновым валиком), «Повтори цветную гирлянду».</w:t>
      </w:r>
    </w:p>
    <w:p w14:paraId="7BBC0F32" w14:textId="77777777" w:rsidR="002242F3" w:rsidRPr="002242F3" w:rsidRDefault="002242F3" w:rsidP="002242F3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Форма:</w:t>
      </w:r>
      <w:r w:rsidRPr="002242F3">
        <w:rPr>
          <w:color w:val="0F1115"/>
        </w:rPr>
        <w:t> «Пластилинография» (заполнение контура фигуры пластилином), «Найди свою форму» (соотнесение объемных и плоскостных фигур).</w:t>
      </w:r>
    </w:p>
    <w:p w14:paraId="789FFC9A" w14:textId="77777777" w:rsidR="002242F3" w:rsidRPr="002242F3" w:rsidRDefault="002242F3" w:rsidP="002242F3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Величина:</w:t>
      </w:r>
      <w:r w:rsidRPr="002242F3">
        <w:rPr>
          <w:color w:val="0F1115"/>
        </w:rPr>
        <w:t> «От большого к маленькому» (аппликация кругов в порядке убывания), «Домики для собачек» (конструирование домиков разного размера).</w:t>
      </w:r>
    </w:p>
    <w:p w14:paraId="2CAAA17F" w14:textId="77777777" w:rsidR="002242F3" w:rsidRPr="002242F3" w:rsidRDefault="002242F3" w:rsidP="002242F3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Целостное восприятие:</w:t>
      </w:r>
      <w:r w:rsidRPr="002242F3">
        <w:rPr>
          <w:color w:val="0F1115"/>
        </w:rPr>
        <w:t> «Заверши изображение» (дорисовывание недостающих деталей).</w:t>
      </w:r>
    </w:p>
    <w:p w14:paraId="2902613A" w14:textId="77777777" w:rsidR="002242F3" w:rsidRPr="002242F3" w:rsidRDefault="002242F3" w:rsidP="002242F3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Пространство:</w:t>
      </w:r>
      <w:r w:rsidRPr="002242F3">
        <w:rPr>
          <w:color w:val="0F1115"/>
        </w:rPr>
        <w:t> «Графический диктант» (рисование фигур в разных углах листа по инструкции).</w:t>
      </w:r>
    </w:p>
    <w:p w14:paraId="5B58AA9C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Занятия проводились индивидуально 2 раза в неделю по 20 минут. Работа в КГ велась по традиционной программе без акцента на развитии зрительного восприятия.</w:t>
      </w:r>
    </w:p>
    <w:p w14:paraId="739619E1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Результаты контрольного этапа показали выраженную положительную динамику в ЭГ:</w:t>
      </w:r>
    </w:p>
    <w:p w14:paraId="606BCC90" w14:textId="77777777" w:rsidR="002242F3" w:rsidRPr="002242F3" w:rsidRDefault="002242F3" w:rsidP="002242F3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80% детей (4 человека)</w:t>
      </w:r>
      <w:r w:rsidRPr="002242F3">
        <w:rPr>
          <w:color w:val="0F1115"/>
        </w:rPr>
        <w:t> перешли на достаточный уровень развития.</w:t>
      </w:r>
    </w:p>
    <w:p w14:paraId="2293AC05" w14:textId="77777777" w:rsidR="002242F3" w:rsidRPr="002242F3" w:rsidRDefault="002242F3" w:rsidP="002242F3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20% детей (1 человек)</w:t>
      </w:r>
      <w:r w:rsidRPr="002242F3">
        <w:rPr>
          <w:color w:val="0F1115"/>
        </w:rPr>
        <w:t> остались на недостаточном уровне, но показали значительный прогресс в его рамках.</w:t>
      </w:r>
    </w:p>
    <w:p w14:paraId="774E9324" w14:textId="77777777" w:rsidR="002242F3" w:rsidRPr="002242F3" w:rsidRDefault="002242F3" w:rsidP="002242F3">
      <w:pPr>
        <w:pStyle w:val="ds-markdown-paragraph"/>
        <w:numPr>
          <w:ilvl w:val="0"/>
          <w:numId w:val="8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rStyle w:val="a3"/>
          <w:color w:val="0F1115"/>
        </w:rPr>
        <w:t>Низкий уровень в ЭГ зафиксирован не был.</w:t>
      </w:r>
    </w:p>
    <w:p w14:paraId="1C6FD161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В КГ значимых изменений не произошло: распределение по уровням осталось прежним – 80% недостаточный и 20% низкий уровень.</w:t>
      </w:r>
    </w:p>
    <w:p w14:paraId="08C02F1D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rStyle w:val="a3"/>
          <w:color w:val="0F1115"/>
        </w:rPr>
        <w:t>Заключение</w:t>
      </w:r>
    </w:p>
    <w:p w14:paraId="4FDC19D7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2242F3">
        <w:rPr>
          <w:color w:val="0F1115"/>
        </w:rPr>
        <w:t>Проведенное исследование подтвердило исходную гипотезу и позволило сделать следующие выводы:</w:t>
      </w:r>
    </w:p>
    <w:p w14:paraId="49D830AF" w14:textId="77777777" w:rsidR="002242F3" w:rsidRPr="002242F3" w:rsidRDefault="002242F3" w:rsidP="002242F3">
      <w:pPr>
        <w:pStyle w:val="ds-markdown-paragraph"/>
        <w:numPr>
          <w:ilvl w:val="0"/>
          <w:numId w:val="9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color w:val="0F1115"/>
        </w:rPr>
        <w:t>Зрительное восприятие старших дошкольников с нарушением интеллекта характеризуется грубой несформированностью и качественным своеобразием, что проявляется в трудностях усвоения сенсорных эталонов, фрагментарности и неосмысленности восприятия.</w:t>
      </w:r>
    </w:p>
    <w:p w14:paraId="05D092C7" w14:textId="77777777" w:rsidR="002242F3" w:rsidRPr="002242F3" w:rsidRDefault="002242F3" w:rsidP="002242F3">
      <w:pPr>
        <w:pStyle w:val="ds-markdown-paragraph"/>
        <w:numPr>
          <w:ilvl w:val="0"/>
          <w:numId w:val="9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color w:val="0F1115"/>
        </w:rPr>
        <w:t>Разработанный диагностический комплекс, основанный на методиках обучающего эксперимента, является эффективным инструментом для выявления уровня сформированности зрительного гнозиса у данной категории детей.</w:t>
      </w:r>
    </w:p>
    <w:p w14:paraId="22256A36" w14:textId="77777777" w:rsidR="002242F3" w:rsidRPr="002242F3" w:rsidRDefault="002242F3" w:rsidP="002242F3">
      <w:pPr>
        <w:pStyle w:val="ds-markdown-paragraph"/>
        <w:numPr>
          <w:ilvl w:val="0"/>
          <w:numId w:val="9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color w:val="0F1115"/>
        </w:rPr>
        <w:t>Коррекционно-развивающая программа, основанная на системном и поэтапном использовании различных видов изобразительной деятельности, доказала свою высокую эффективность. Она позволяет в доступной и интересной для ребенка форме целенаправленно работать над развитием восприятия цвета, формы, величины, пространственных представлений и целостности образа.</w:t>
      </w:r>
    </w:p>
    <w:p w14:paraId="10685DBB" w14:textId="77777777" w:rsidR="002242F3" w:rsidRPr="002242F3" w:rsidRDefault="002242F3" w:rsidP="002242F3">
      <w:pPr>
        <w:pStyle w:val="ds-markdown-paragraph"/>
        <w:numPr>
          <w:ilvl w:val="0"/>
          <w:numId w:val="9"/>
        </w:numPr>
        <w:shd w:val="clear" w:color="auto" w:fill="FFFFFF"/>
        <w:spacing w:after="0" w:afterAutospacing="0"/>
        <w:rPr>
          <w:color w:val="0F1115"/>
        </w:rPr>
      </w:pPr>
      <w:r w:rsidRPr="002242F3">
        <w:rPr>
          <w:color w:val="0F1115"/>
        </w:rPr>
        <w:t xml:space="preserve">Полученные результаты имеют высокую практическую значимость. Разработанные материалы и методические приемы могут быть успешно внедрены в практику работы дефектологов, психологов и воспитателей специализированных дошкольных учреждений для разработки индивидуальных образовательных </w:t>
      </w:r>
      <w:r w:rsidRPr="002242F3">
        <w:rPr>
          <w:color w:val="0F1115"/>
        </w:rPr>
        <w:lastRenderedPageBreak/>
        <w:t>маршрутов и повышения эффективности коррекционно-педагогического процесса в целом.</w:t>
      </w:r>
    </w:p>
    <w:p w14:paraId="0EE086AF" w14:textId="77777777" w:rsidR="002242F3" w:rsidRPr="002242F3" w:rsidRDefault="002242F3" w:rsidP="002242F3">
      <w:pPr>
        <w:pStyle w:val="ds-markdown-paragraph"/>
        <w:shd w:val="clear" w:color="auto" w:fill="FFFFFF"/>
        <w:spacing w:before="240" w:beforeAutospacing="0"/>
        <w:rPr>
          <w:color w:val="0F1115"/>
        </w:rPr>
      </w:pPr>
      <w:r w:rsidRPr="002242F3">
        <w:rPr>
          <w:color w:val="0F1115"/>
        </w:rPr>
        <w:t>Таким образом, целенаправленная, систематическая и методически грамотно организованная работа по развитию зрительного восприятия является неотъемлемой частью комплексной коррекционной помощи детям с интеллектуальными нарушениями и создает необходимую сенсорную основу для их дальнейшего развития и обучения.</w:t>
      </w:r>
    </w:p>
    <w:p w14:paraId="363857EE" w14:textId="77777777" w:rsidR="008E509B" w:rsidRPr="008E509B" w:rsidRDefault="008E509B" w:rsidP="008E509B">
      <w:pPr>
        <w:rPr>
          <w:rFonts w:ascii="Times New Roman" w:hAnsi="Times New Roman" w:cs="Times New Roman"/>
          <w:sz w:val="24"/>
          <w:szCs w:val="24"/>
        </w:rPr>
      </w:pPr>
      <w:r w:rsidRPr="008E509B"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14:paraId="2A92108A" w14:textId="77777777" w:rsidR="008E509B" w:rsidRPr="008E509B" w:rsidRDefault="008E509B" w:rsidP="008E509B">
      <w:pPr>
        <w:rPr>
          <w:rFonts w:ascii="Times New Roman" w:hAnsi="Times New Roman" w:cs="Times New Roman"/>
          <w:sz w:val="24"/>
          <w:szCs w:val="24"/>
        </w:rPr>
      </w:pPr>
      <w:r w:rsidRPr="008E509B">
        <w:rPr>
          <w:rFonts w:ascii="Times New Roman" w:hAnsi="Times New Roman" w:cs="Times New Roman"/>
          <w:sz w:val="24"/>
          <w:szCs w:val="24"/>
        </w:rPr>
        <w:t>1.</w:t>
      </w:r>
      <w:r w:rsidRPr="008E509B">
        <w:rPr>
          <w:rFonts w:ascii="Times New Roman" w:hAnsi="Times New Roman" w:cs="Times New Roman"/>
          <w:sz w:val="24"/>
          <w:szCs w:val="24"/>
        </w:rPr>
        <w:tab/>
        <w:t>Величковский Б.М. Современная когнитивная психология. – М.: Изд.-во МГУ, 1982. – 336 с.</w:t>
      </w:r>
    </w:p>
    <w:p w14:paraId="4091581F" w14:textId="77777777" w:rsidR="008E509B" w:rsidRPr="008E509B" w:rsidRDefault="008E509B" w:rsidP="008E509B">
      <w:pPr>
        <w:rPr>
          <w:rFonts w:ascii="Times New Roman" w:hAnsi="Times New Roman" w:cs="Times New Roman"/>
          <w:sz w:val="24"/>
          <w:szCs w:val="24"/>
        </w:rPr>
      </w:pPr>
      <w:r w:rsidRPr="008E509B">
        <w:rPr>
          <w:rFonts w:ascii="Times New Roman" w:hAnsi="Times New Roman" w:cs="Times New Roman"/>
          <w:sz w:val="24"/>
          <w:szCs w:val="24"/>
        </w:rPr>
        <w:t>2.</w:t>
      </w:r>
      <w:r w:rsidRPr="008E509B">
        <w:rPr>
          <w:rFonts w:ascii="Times New Roman" w:hAnsi="Times New Roman" w:cs="Times New Roman"/>
          <w:sz w:val="24"/>
          <w:szCs w:val="24"/>
        </w:rPr>
        <w:tab/>
        <w:t>Венгер Л.А. Развитие восприятия и сенсорное воспитание в дошкольном возрасте: автореф. дис. … д-ра пед. наук. (731) / АПН СССР. Науч.-исслед. ин-т психологии. – Москва, 1968. – 37 с.</w:t>
      </w:r>
    </w:p>
    <w:p w14:paraId="22EE7CDF" w14:textId="77777777" w:rsidR="008E509B" w:rsidRPr="008E509B" w:rsidRDefault="008E509B" w:rsidP="008E509B">
      <w:pPr>
        <w:rPr>
          <w:rFonts w:ascii="Times New Roman" w:hAnsi="Times New Roman" w:cs="Times New Roman"/>
          <w:sz w:val="24"/>
          <w:szCs w:val="24"/>
        </w:rPr>
      </w:pPr>
      <w:r w:rsidRPr="008E509B">
        <w:rPr>
          <w:rFonts w:ascii="Times New Roman" w:hAnsi="Times New Roman" w:cs="Times New Roman"/>
          <w:sz w:val="24"/>
          <w:szCs w:val="24"/>
        </w:rPr>
        <w:t>3.</w:t>
      </w:r>
      <w:r w:rsidRPr="008E509B">
        <w:rPr>
          <w:rFonts w:ascii="Times New Roman" w:hAnsi="Times New Roman" w:cs="Times New Roman"/>
          <w:sz w:val="24"/>
          <w:szCs w:val="24"/>
        </w:rPr>
        <w:tab/>
        <w:t>Венгер Л.А., Пилюгина Э.Г., Венгер Н.Б. Воспитание сенсорной культуры ребенка от рождения до 6 лет: Кн. для воспитателя дет. сада / под ред. Л.А. Венгера. – М.: Просвещение, 1988. – 144 с.</w:t>
      </w:r>
    </w:p>
    <w:p w14:paraId="32394829" w14:textId="753AA6F2" w:rsidR="008E509B" w:rsidRPr="008E509B" w:rsidRDefault="008E509B" w:rsidP="008E509B">
      <w:pPr>
        <w:rPr>
          <w:rFonts w:ascii="Times New Roman" w:hAnsi="Times New Roman" w:cs="Times New Roman"/>
          <w:sz w:val="24"/>
          <w:szCs w:val="24"/>
        </w:rPr>
      </w:pPr>
      <w:r w:rsidRPr="008E509B">
        <w:rPr>
          <w:rFonts w:ascii="Times New Roman" w:hAnsi="Times New Roman" w:cs="Times New Roman"/>
          <w:sz w:val="24"/>
          <w:szCs w:val="24"/>
        </w:rPr>
        <w:t>4.</w:t>
      </w:r>
      <w:r w:rsidRPr="008E509B">
        <w:rPr>
          <w:rFonts w:ascii="Times New Roman" w:hAnsi="Times New Roman" w:cs="Times New Roman"/>
          <w:sz w:val="24"/>
          <w:szCs w:val="24"/>
        </w:rPr>
        <w:tab/>
        <w:t>Венгер Л.А., Пилюгина Э.Г., Максимова З.Н., Сысуева Л.И. Дидактические игры и упражнения по сенсорному воспитанию дошкольников: пособие для воспитателей детского сада. – М.: Просвещение, 1973. – 95 с.</w:t>
      </w:r>
    </w:p>
    <w:p w14:paraId="5A921BDE" w14:textId="66238441" w:rsidR="008E509B" w:rsidRPr="008E509B" w:rsidRDefault="008E509B" w:rsidP="008E509B">
      <w:pPr>
        <w:rPr>
          <w:rFonts w:ascii="Times New Roman" w:hAnsi="Times New Roman" w:cs="Times New Roman"/>
          <w:sz w:val="24"/>
          <w:szCs w:val="24"/>
        </w:rPr>
      </w:pPr>
      <w:r w:rsidRPr="008E509B">
        <w:rPr>
          <w:rFonts w:ascii="Times New Roman" w:hAnsi="Times New Roman" w:cs="Times New Roman"/>
          <w:sz w:val="24"/>
          <w:szCs w:val="24"/>
        </w:rPr>
        <w:t>5.</w:t>
      </w:r>
      <w:r w:rsidRPr="008E509B">
        <w:rPr>
          <w:rFonts w:ascii="Times New Roman" w:hAnsi="Times New Roman" w:cs="Times New Roman"/>
          <w:sz w:val="24"/>
          <w:szCs w:val="24"/>
        </w:rPr>
        <w:tab/>
        <w:t>Воспитание и обучение детей младшего дошкольного возраста: книга для воспитателя детского сада / под ред. Г.Н. Годиной, Э.Г. Пилюгиной. – М.: Просвещение, 1987. – 158 с.</w:t>
      </w:r>
    </w:p>
    <w:p w14:paraId="3243FEB9" w14:textId="77777777" w:rsidR="008E509B" w:rsidRPr="008E509B" w:rsidRDefault="008E509B" w:rsidP="008E509B">
      <w:pPr>
        <w:rPr>
          <w:rFonts w:ascii="Times New Roman" w:hAnsi="Times New Roman" w:cs="Times New Roman"/>
          <w:sz w:val="24"/>
          <w:szCs w:val="24"/>
        </w:rPr>
      </w:pPr>
      <w:r w:rsidRPr="008E509B">
        <w:rPr>
          <w:rFonts w:ascii="Times New Roman" w:hAnsi="Times New Roman" w:cs="Times New Roman"/>
          <w:sz w:val="24"/>
          <w:szCs w:val="24"/>
        </w:rPr>
        <w:t>6.</w:t>
      </w:r>
      <w:r w:rsidRPr="008E509B">
        <w:rPr>
          <w:rFonts w:ascii="Times New Roman" w:hAnsi="Times New Roman" w:cs="Times New Roman"/>
          <w:sz w:val="24"/>
          <w:szCs w:val="24"/>
        </w:rPr>
        <w:tab/>
        <w:t xml:space="preserve">Назарова Н.М., Аксенова Л.И., Богданова Т.Г., Морозов С.А. Специальная </w:t>
      </w:r>
      <w:proofErr w:type="gramStart"/>
      <w:r w:rsidRPr="008E509B">
        <w:rPr>
          <w:rFonts w:ascii="Times New Roman" w:hAnsi="Times New Roman" w:cs="Times New Roman"/>
          <w:sz w:val="24"/>
          <w:szCs w:val="24"/>
        </w:rPr>
        <w:t>педагогика :</w:t>
      </w:r>
      <w:proofErr w:type="gramEnd"/>
      <w:r w:rsidRPr="008E509B">
        <w:rPr>
          <w:rFonts w:ascii="Times New Roman" w:hAnsi="Times New Roman" w:cs="Times New Roman"/>
          <w:sz w:val="24"/>
          <w:szCs w:val="24"/>
        </w:rPr>
        <w:t xml:space="preserve"> учеб. для студ. учреждений С 718 высш. проф. образования / под ред. Н.М. Назаровой. – 11-е изд., перераб</w:t>
      </w:r>
      <w:proofErr w:type="gramStart"/>
      <w:r w:rsidRPr="008E50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E509B">
        <w:rPr>
          <w:rFonts w:ascii="Times New Roman" w:hAnsi="Times New Roman" w:cs="Times New Roman"/>
          <w:sz w:val="24"/>
          <w:szCs w:val="24"/>
        </w:rPr>
        <w:t xml:space="preserve"> и доп. – М.: Издательский центр «Академия», 2013. – 396 с.</w:t>
      </w:r>
    </w:p>
    <w:p w14:paraId="6D975F50" w14:textId="3427A666" w:rsidR="007D6EE9" w:rsidRPr="002242F3" w:rsidRDefault="008E509B" w:rsidP="008E509B">
      <w:pPr>
        <w:rPr>
          <w:rFonts w:ascii="Times New Roman" w:hAnsi="Times New Roman" w:cs="Times New Roman"/>
          <w:sz w:val="24"/>
          <w:szCs w:val="24"/>
        </w:rPr>
      </w:pPr>
      <w:r w:rsidRPr="008E509B">
        <w:rPr>
          <w:rFonts w:ascii="Times New Roman" w:hAnsi="Times New Roman" w:cs="Times New Roman"/>
          <w:sz w:val="24"/>
          <w:szCs w:val="24"/>
        </w:rPr>
        <w:t>7.</w:t>
      </w:r>
      <w:r w:rsidRPr="008E509B">
        <w:rPr>
          <w:rFonts w:ascii="Times New Roman" w:hAnsi="Times New Roman" w:cs="Times New Roman"/>
          <w:sz w:val="24"/>
          <w:szCs w:val="24"/>
        </w:rPr>
        <w:tab/>
        <w:t>Стребелева Е.А. Формирование мышления у детей с отклонениями в развитии: кн. для педагога-дефектолога. – М.: ВЛАДОС, 2022. – 183 с.</w:t>
      </w:r>
    </w:p>
    <w:sectPr w:rsidR="007D6EE9" w:rsidRPr="00224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D3672"/>
    <w:multiLevelType w:val="multilevel"/>
    <w:tmpl w:val="F220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1C3888"/>
    <w:multiLevelType w:val="multilevel"/>
    <w:tmpl w:val="DA52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4E1F5B"/>
    <w:multiLevelType w:val="multilevel"/>
    <w:tmpl w:val="5DAC2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F84153"/>
    <w:multiLevelType w:val="multilevel"/>
    <w:tmpl w:val="817E5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D250CB"/>
    <w:multiLevelType w:val="multilevel"/>
    <w:tmpl w:val="6C685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CE598A"/>
    <w:multiLevelType w:val="multilevel"/>
    <w:tmpl w:val="A304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7F792B"/>
    <w:multiLevelType w:val="multilevel"/>
    <w:tmpl w:val="831A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9B66B8"/>
    <w:multiLevelType w:val="multilevel"/>
    <w:tmpl w:val="D328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9D2A25"/>
    <w:multiLevelType w:val="multilevel"/>
    <w:tmpl w:val="0322A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6C6860"/>
    <w:multiLevelType w:val="multilevel"/>
    <w:tmpl w:val="E184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293"/>
    <w:rsid w:val="002242F3"/>
    <w:rsid w:val="002F5293"/>
    <w:rsid w:val="007D6EE9"/>
    <w:rsid w:val="008E509B"/>
    <w:rsid w:val="00BF1792"/>
    <w:rsid w:val="00F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1691F"/>
  <w15:chartTrackingRefBased/>
  <w15:docId w15:val="{6CA2811C-6100-43BA-9773-E3576CB3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22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242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1429</Words>
  <Characters>8146</Characters>
  <Application>Microsoft Office Word</Application>
  <DocSecurity>0</DocSecurity>
  <Lines>67</Lines>
  <Paragraphs>19</Paragraphs>
  <ScaleCrop>false</ScaleCrop>
  <Company/>
  <LinksUpToDate>false</LinksUpToDate>
  <CharactersWithSpaces>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Денисова</dc:creator>
  <cp:keywords/>
  <dc:description/>
  <cp:lastModifiedBy>Анна Денисова</cp:lastModifiedBy>
  <cp:revision>5</cp:revision>
  <dcterms:created xsi:type="dcterms:W3CDTF">2025-09-14T11:12:00Z</dcterms:created>
  <dcterms:modified xsi:type="dcterms:W3CDTF">2025-09-14T11:26:00Z</dcterms:modified>
</cp:coreProperties>
</file>