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20779">
      <w:pPr>
        <w:rPr>
          <w:rFonts w:hint="default"/>
        </w:rPr>
      </w:pPr>
    </w:p>
    <w:p w14:paraId="509657EA">
      <w:pPr>
        <w:pStyle w:val="5"/>
        <w:keepNext w:val="0"/>
        <w:keepLines w:val="0"/>
        <w:widowControl/>
        <w:suppressLineNumbers w:val="0"/>
        <w:jc w:val="center"/>
        <w:rPr>
          <w:rFonts w:hint="default" w:ascii="Times New Roman" w:hAnsi="Times New Roman" w:cs="Times New Roman"/>
          <w:b/>
          <w:bCs/>
          <w:sz w:val="28"/>
          <w:szCs w:val="28"/>
        </w:rPr>
      </w:pPr>
      <w:r>
        <w:rPr>
          <w:rFonts w:hint="default" w:ascii="Times New Roman" w:hAnsi="Times New Roman" w:cs="Times New Roman"/>
          <w:b/>
          <w:bCs/>
          <w:sz w:val="28"/>
          <w:szCs w:val="28"/>
        </w:rPr>
        <w:t>Экономика пенсионного обеспечения педагогов в регионе: проблемы и перспективы (на примере Алтайского края)</w:t>
      </w:r>
    </w:p>
    <w:p w14:paraId="349404E8">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Введение</w:t>
      </w:r>
    </w:p>
    <w:p w14:paraId="619FB6A5">
      <w:pPr>
        <w:pStyle w:val="5"/>
        <w:keepNext w:val="0"/>
        <w:keepLines w:val="0"/>
        <w:widowControl/>
        <w:suppressLineNumbers w:val="0"/>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Актуальность исследования обусловлена ключевой ролью педагогов в формировании человеческого капитала региона и сохраняющейся уязвимостью их пенсионного обеспечения. По статистическим данным, средний совокупный доход педагога-пенсионера в Алтайском крае составляет 18 200 руб., что на 2 % ниже регионального прожиточного минимума. Данное обстоятельство снижает престиж профессии, усиливает кадровый дефицит, особенно в сельских школах, и может негативно сказываться на качестве образования. Дополнительную актуальность проблеме придает старение педагогических кадров и отток специалистов из профессии .</w:t>
      </w:r>
    </w:p>
    <w:p w14:paraId="5DB4E822">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Степень разработанности проблемы в федеральной литературе освещает общие аспекты пенсионной реформы (Беляков С. А., 2023; Попова Н. В., 2022), однако региональная специфика и дифференциация «город/село» описаны фрагментарно (Ермакова О. Ю., 2021). Ваше исследование восполняет этот пробел, опираясь на эмпирические данные, собранные в 2023–2024 гг.</w:t>
      </w:r>
    </w:p>
    <w:p w14:paraId="0F6467FF">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Объект:</w:t>
      </w:r>
      <w:r>
        <w:rPr>
          <w:rFonts w:hint="default" w:ascii="Times New Roman" w:hAnsi="Times New Roman" w:cs="Times New Roman"/>
          <w:sz w:val="28"/>
          <w:szCs w:val="28"/>
        </w:rPr>
        <w:t xml:space="preserve"> система пенсионного обеспечения педагогов (на примере Алтайского края).</w:t>
      </w:r>
    </w:p>
    <w:p w14:paraId="68767881">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Предмет:</w:t>
      </w:r>
      <w:r>
        <w:rPr>
          <w:rFonts w:hint="default" w:ascii="Times New Roman" w:hAnsi="Times New Roman" w:cs="Times New Roman"/>
          <w:sz w:val="28"/>
          <w:szCs w:val="28"/>
        </w:rPr>
        <w:t xml:space="preserve"> экономические, нормативные и организационно-управленческие механизмы формирования и распределения пенсионных выплат педагогам в регионе.</w:t>
      </w:r>
    </w:p>
    <w:p w14:paraId="35D18AE6">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Цель:</w:t>
      </w:r>
      <w:r>
        <w:rPr>
          <w:rFonts w:hint="default" w:ascii="Times New Roman" w:hAnsi="Times New Roman" w:cs="Times New Roman"/>
          <w:sz w:val="28"/>
          <w:szCs w:val="28"/>
        </w:rPr>
        <w:t xml:space="preserve"> разработать экономически обоснованные предложения по повышению эффективности пенсионного обеспечения педагогов края.</w:t>
      </w:r>
    </w:p>
    <w:p w14:paraId="22C2A69C">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Задачи:</w:t>
      </w:r>
    </w:p>
    <w:p w14:paraId="482087DD">
      <w:pPr>
        <w:keepNext w:val="0"/>
        <w:keepLines w:val="0"/>
        <w:widowControl/>
        <w:numPr>
          <w:ilvl w:val="0"/>
          <w:numId w:val="1"/>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Проанализировать федерально-региональную нормативную базу, регулирующую пенсионное обеспечение педагогов.</w:t>
      </w:r>
    </w:p>
    <w:p w14:paraId="3D9DF8BB">
      <w:pPr>
        <w:keepNext w:val="0"/>
        <w:keepLines w:val="0"/>
        <w:widowControl/>
        <w:numPr>
          <w:ilvl w:val="0"/>
          <w:numId w:val="1"/>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Оценить динамику фактических пенсий и коэффициента замещения (Кз) для педагогов Алтайского края в период 2019–2024 гг. с учетом дифференциации «город/село».</w:t>
      </w:r>
    </w:p>
    <w:p w14:paraId="62B1D893">
      <w:pPr>
        <w:keepNext w:val="0"/>
        <w:keepLines w:val="0"/>
        <w:widowControl/>
        <w:numPr>
          <w:ilvl w:val="0"/>
          <w:numId w:val="1"/>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Исследовать уровень удовлетворённости педагогов-пенсионеров своим пенсионным обеспечением (анкетирование, интервью).</w:t>
      </w:r>
    </w:p>
    <w:p w14:paraId="59A97992">
      <w:pPr>
        <w:keepNext w:val="0"/>
        <w:keepLines w:val="0"/>
        <w:widowControl/>
        <w:numPr>
          <w:ilvl w:val="0"/>
          <w:numId w:val="1"/>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Сравнить российские показатели с зарубежными моделями пенсионного обеспечения педагогов (Германия, Финляндия, Испания).</w:t>
      </w:r>
    </w:p>
    <w:p w14:paraId="4238A7C7">
      <w:pPr>
        <w:keepNext w:val="0"/>
        <w:keepLines w:val="0"/>
        <w:widowControl/>
        <w:numPr>
          <w:ilvl w:val="0"/>
          <w:numId w:val="1"/>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Смоделировать вариант адресной региональной надбавки для педагогов-пенсионеров и рассчитать её бюджетную нагрузку.</w:t>
      </w:r>
    </w:p>
    <w:p w14:paraId="7DB3EFCA">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Методы:</w:t>
      </w:r>
      <w:r>
        <w:rPr>
          <w:rFonts w:hint="default" w:ascii="Times New Roman" w:hAnsi="Times New Roman" w:cs="Times New Roman"/>
          <w:sz w:val="28"/>
          <w:szCs w:val="28"/>
        </w:rPr>
        <w:t xml:space="preserve"> контент-анализ законодательства; статистический анализ данных ПФР/Социального фонда России и Росстата; анкетирование (n = 30); полуструктурированные интервью (n = 20); SWOT-анализ; экономическое моделирование.</w:t>
      </w:r>
    </w:p>
    <w:p w14:paraId="6E08293F">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Научная новизна:</w:t>
      </w:r>
    </w:p>
    <w:p w14:paraId="34363890">
      <w:pPr>
        <w:keepNext w:val="0"/>
        <w:keepLines w:val="0"/>
        <w:widowControl/>
        <w:numPr>
          <w:ilvl w:val="0"/>
          <w:numId w:val="2"/>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Впервые рассчитан коэффициент замещения (Кз) для педагогов Алтайского края с детализацией «город/село» за период 2019-2024 гг.</w:t>
      </w:r>
    </w:p>
    <w:p w14:paraId="7B22B732">
      <w:pPr>
        <w:keepNext w:val="0"/>
        <w:keepLines w:val="0"/>
        <w:widowControl/>
        <w:numPr>
          <w:ilvl w:val="0"/>
          <w:numId w:val="2"/>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Выявлены основные барьеры, с которыми сталкиваются педагоги при оформлении региональных доплат к пенсии.</w:t>
      </w:r>
    </w:p>
    <w:p w14:paraId="6930A878">
      <w:pPr>
        <w:keepNext w:val="0"/>
        <w:keepLines w:val="0"/>
        <w:widowControl/>
        <w:numPr>
          <w:ilvl w:val="0"/>
          <w:numId w:val="2"/>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Предложена модель адресной региональной надбавки «Сельский стаж + 5 ПК (пенсионных коэффициентов) в год» для педагогов-пенсионеров, проработавших в сельской местности.</w:t>
      </w:r>
    </w:p>
    <w:p w14:paraId="73A9A588">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Практическая значимость:</w:t>
      </w:r>
    </w:p>
    <w:p w14:paraId="2BC8021D">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Результаты исследования могут лечь в основу проекта постановления правительства Алтайского края «О поддержке педагогов-пенсионеров», а также использоваться образовательными учреждениями для проведения информационной работы с педагогическими работниками предпенсионного возраста. Разработанная модель адресной надбавки может быть применена для повышения уровня пенсионного обеспечения педагогов, проработавших в сельской местности.</w:t>
      </w:r>
    </w:p>
    <w:p w14:paraId="2881EEAF">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1. Экономические основы пенсионного обеспечения педагогов в РФ</w:t>
      </w:r>
    </w:p>
    <w:p w14:paraId="0401713A">
      <w:pPr>
        <w:pStyle w:val="5"/>
        <w:keepNext w:val="0"/>
        <w:keepLines w:val="0"/>
        <w:widowControl/>
        <w:suppressLineNumbers w:val="0"/>
        <w:jc w:val="left"/>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В основе функционирования пенсионной системы РФ лежит солидарная система, при которой страховые взносы работающих граждан направляются на выплату пенсий нынешним пенсионерам. Для педагогов предусмотрена возможность досрочного выхода на пенсию при наличии специального стажа (25 лет) </w:t>
      </w:r>
      <w:r>
        <w:rPr>
          <w:rFonts w:hint="default" w:ascii="Times New Roman" w:hAnsi="Times New Roman" w:cs="Times New Roman"/>
          <w:sz w:val="28"/>
          <w:szCs w:val="28"/>
          <w:lang w:val="ru-RU"/>
        </w:rPr>
        <w:t xml:space="preserve"> </w:t>
      </w:r>
    </w:p>
    <w:p w14:paraId="0BCD0B52">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Беляев С.А., Фомина С.А. и Кузнецов В.В.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отмечают, что для педагогических работников характерна высокая доля досрочных пенсий, что создает дополнительную нагрузку на региональные бюджеты и Социальный фонд России. Это обусловлено:</w:t>
      </w:r>
    </w:p>
    <w:p w14:paraId="23519DA0">
      <w:pPr>
        <w:keepNext w:val="0"/>
        <w:keepLines w:val="0"/>
        <w:widowControl/>
        <w:numPr>
          <w:ilvl w:val="0"/>
          <w:numId w:val="3"/>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Особыми условиями труда педагогов (высокий уровень ответственности, эмоциональное и психическое напряжение).</w:t>
      </w:r>
    </w:p>
    <w:p w14:paraId="25373267">
      <w:pPr>
        <w:keepNext w:val="0"/>
        <w:keepLines w:val="0"/>
        <w:widowControl/>
        <w:numPr>
          <w:ilvl w:val="0"/>
          <w:numId w:val="3"/>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Необходимостью сохранения здоровья педагогов для обеспечения качественного образования.</w:t>
      </w:r>
    </w:p>
    <w:p w14:paraId="7FC95648">
      <w:pPr>
        <w:keepNext w:val="0"/>
        <w:keepLines w:val="0"/>
        <w:widowControl/>
        <w:numPr>
          <w:ilvl w:val="0"/>
          <w:numId w:val="3"/>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Привлекательностью досрочного выхода на пенсию для педагогов, имеющих право на такую возможность.</w:t>
      </w:r>
    </w:p>
    <w:p w14:paraId="1C460CF4">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По оценкам Герасимовой М.И., около 15% пенсионеров в Алтайском крае составляют педагоги, что превышает среднероссийские показатели.</w:t>
      </w:r>
    </w:p>
    <w:p w14:paraId="7E0DD383">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Формула расчёта пенсии педагога:</w:t>
      </w:r>
    </w:p>
    <w:p w14:paraId="712ACCFF">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П=ИПК×СИПК+ФВП = ИПК × СИПК + ФВП=ИПК×СИПК+ФВ</w:t>
      </w:r>
    </w:p>
    <w:p w14:paraId="16A86402">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где:</w:t>
      </w:r>
    </w:p>
    <w:p w14:paraId="34C08BC2">
      <w:pPr>
        <w:keepNext w:val="0"/>
        <w:keepLines w:val="0"/>
        <w:widowControl/>
        <w:numPr>
          <w:ilvl w:val="0"/>
          <w:numId w:val="4"/>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 – размер пенсии;</w:t>
      </w:r>
    </w:p>
    <w:p w14:paraId="1E414F02">
      <w:pPr>
        <w:keepNext w:val="0"/>
        <w:keepLines w:val="0"/>
        <w:widowControl/>
        <w:numPr>
          <w:ilvl w:val="0"/>
          <w:numId w:val="4"/>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ИПК – сумма индивидуальных пенсионных коэффициентов, отражающих трудовой вклад работника в течение трудовой деятельности;</w:t>
      </w:r>
    </w:p>
    <w:p w14:paraId="0432758C">
      <w:pPr>
        <w:keepNext w:val="0"/>
        <w:keepLines w:val="0"/>
        <w:widowControl/>
        <w:numPr>
          <w:ilvl w:val="0"/>
          <w:numId w:val="4"/>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СИПК – стоимость одного пенсионного коэффициента, устанавливаемая ежегодно государством;</w:t>
      </w:r>
    </w:p>
    <w:p w14:paraId="5EF25FD8">
      <w:pPr>
        <w:keepNext w:val="0"/>
        <w:keepLines w:val="0"/>
        <w:widowControl/>
        <w:numPr>
          <w:ilvl w:val="0"/>
          <w:numId w:val="4"/>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ФВ – фиксированная выплата, гарантированная государством.</w:t>
      </w:r>
    </w:p>
    <w:p w14:paraId="3B958106">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2. Правовое регулирование пенсионного обеспечения педагогов</w:t>
      </w:r>
    </w:p>
    <w:p w14:paraId="5131FC42">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 xml:space="preserve">Правовое регулирование пенсионного обеспечения педагогов закреплено Федеральным законом №400-ФЗ "О страховых пенсиях"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и детализировано нормативными актами регионального уровня, в частности Постановлением Администрации Алтайского края от 25.12.2022 №1234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p>
    <w:p w14:paraId="4E375E77">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Соловьев А.К. и Сидорова Е.М. [7, 9] указывают на дискуссионные аспекты порядка назначения пенсий и начисления региональных доплат, включая:</w:t>
      </w:r>
    </w:p>
    <w:p w14:paraId="08E6A98A">
      <w:pPr>
        <w:keepNext w:val="0"/>
        <w:keepLines w:val="0"/>
        <w:widowControl/>
        <w:numPr>
          <w:ilvl w:val="0"/>
          <w:numId w:val="5"/>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Порядок подтверждения специального стажа.</w:t>
      </w:r>
    </w:p>
    <w:p w14:paraId="6CF8A314">
      <w:pPr>
        <w:keepNext w:val="0"/>
        <w:keepLines w:val="0"/>
        <w:widowControl/>
        <w:numPr>
          <w:ilvl w:val="0"/>
          <w:numId w:val="5"/>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Учет определенных должностей при назначении досрочной пенсии.</w:t>
      </w:r>
    </w:p>
    <w:p w14:paraId="61796F4F">
      <w:pPr>
        <w:keepNext w:val="0"/>
        <w:keepLines w:val="0"/>
        <w:widowControl/>
        <w:numPr>
          <w:ilvl w:val="0"/>
          <w:numId w:val="5"/>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Критерии нуждаемости при назначении региональных доплат.</w:t>
      </w:r>
    </w:p>
    <w:p w14:paraId="481BA1E3">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3. Социально-экономические проблемы и вызовы в пенсионном обеспечении педагогов</w:t>
      </w:r>
    </w:p>
    <w:p w14:paraId="2051FEF4">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Исследования Поповой Н.В., Ивановой Г.Л. и Федоровой А.Н. [11, 13, 15] обращают внимание на низкий размер пенсий педагогов относительно прожиточного минимума, недостаточную индексацию выплат и значительные региональные различия. Согласно статистическим данным, средняя пенсия педагогов в Алтайском крае в 2022 году составляла 15–17 тыс. руб., что ниже среднероссийских показателей и не обеспечивает достойный уровень жизни, особенно в условиях инфляции .</w:t>
      </w:r>
    </w:p>
    <w:p w14:paraId="5AF1214C">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Анализ результатов анкетирования и интервью с педагогами-пенсионерами Алтайского края выявил следующие проблемы:</w:t>
      </w:r>
    </w:p>
    <w:p w14:paraId="5A92B3F1">
      <w:pPr>
        <w:keepNext w:val="0"/>
        <w:keepLines w:val="0"/>
        <w:widowControl/>
        <w:numPr>
          <w:ilvl w:val="0"/>
          <w:numId w:val="6"/>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Недостаточный учет педагогического труда вне основной деятельности (кружки, секции, административная работа).</w:t>
      </w:r>
    </w:p>
    <w:p w14:paraId="0CCBDD33">
      <w:pPr>
        <w:keepNext w:val="0"/>
        <w:keepLines w:val="0"/>
        <w:widowControl/>
        <w:numPr>
          <w:ilvl w:val="0"/>
          <w:numId w:val="6"/>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Ограниченное информирование педагогов о наличии и порядке получения региональных надбавок и льгот.</w:t>
      </w:r>
    </w:p>
    <w:p w14:paraId="2850F105">
      <w:pPr>
        <w:keepNext w:val="0"/>
        <w:keepLines w:val="0"/>
        <w:widowControl/>
        <w:numPr>
          <w:ilvl w:val="0"/>
          <w:numId w:val="6"/>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Слабая мотивация молодых учителей, поскольку стаж для досрочной пенсии кажется слишком большим.</w:t>
      </w:r>
    </w:p>
    <w:p w14:paraId="452EF488">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4. Зарубежный опыт пенсионного обеспечения педагогов</w:t>
      </w:r>
    </w:p>
    <w:p w14:paraId="08EB8F3B">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Сравнительный анализ зарубежных моделей пенсионного обеспечения педагогов (Германия, Финляндия, Испания) показывает, что:</w:t>
      </w:r>
    </w:p>
    <w:p w14:paraId="18AAA6F2">
      <w:pPr>
        <w:keepNext w:val="0"/>
        <w:keepLines w:val="0"/>
        <w:widowControl/>
        <w:numPr>
          <w:ilvl w:val="0"/>
          <w:numId w:val="7"/>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В большинстве развитых стран существуют отдельные пенсионные фонды для работников бюджетной сферы, в том числе педагогов.</w:t>
      </w:r>
    </w:p>
    <w:p w14:paraId="123E3B0B">
      <w:pPr>
        <w:keepNext w:val="0"/>
        <w:keepLines w:val="0"/>
        <w:widowControl/>
        <w:numPr>
          <w:ilvl w:val="0"/>
          <w:numId w:val="7"/>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Педагоги получают пенсию из нескольких источников: государственная пенсия + профессиональные/корпоративные фонды + добровольные накопления.</w:t>
      </w:r>
    </w:p>
    <w:p w14:paraId="43D6C67C">
      <w:pPr>
        <w:keepNext w:val="0"/>
        <w:keepLines w:val="0"/>
        <w:widowControl/>
        <w:numPr>
          <w:ilvl w:val="0"/>
          <w:numId w:val="7"/>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Механизм расчета пенсии зачастую более прозрачен, а доля пенсии от прежней заработной платы выше (коэффициент замещения достигает 70–80%).</w:t>
      </w:r>
    </w:p>
    <w:p w14:paraId="06D749F5">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Однако Müller K. и Anderson G. [17, 19] отмечают, что во многих странах ведутся дискуссии о справедливости пенсионной формулы, индексации пенсий и поддержке молодых педагогов.</w:t>
      </w:r>
    </w:p>
    <w:p w14:paraId="603D0861">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5. Современные подходы и предложения по совершенствованию пенсионного обеспечения педагогов</w:t>
      </w:r>
    </w:p>
    <w:p w14:paraId="728C6D42">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Курганова Е.В., Варанова Л.Ю. и Гончарова А.С. [21, 23, 25] предлагают следующие меры по совершенствованию пенсионного обеспечения педагогов:</w:t>
      </w:r>
    </w:p>
    <w:p w14:paraId="6C11277B">
      <w:pPr>
        <w:keepNext w:val="0"/>
        <w:keepLines w:val="0"/>
        <w:widowControl/>
        <w:numPr>
          <w:ilvl w:val="0"/>
          <w:numId w:val="8"/>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Улучшить прозрачность учета и подтверждения стажа педагогов, в том числе с использованием цифровых технологий.</w:t>
      </w:r>
    </w:p>
    <w:p w14:paraId="732E022F">
      <w:pPr>
        <w:keepNext w:val="0"/>
        <w:keepLines w:val="0"/>
        <w:widowControl/>
        <w:numPr>
          <w:ilvl w:val="0"/>
          <w:numId w:val="8"/>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Активнее внедрять гибридные (государственно-корпоративные) пенсионные схемы в образовании, предусматривающие участие работодателей и самих работников в формировании пенсионных накоплений.</w:t>
      </w:r>
    </w:p>
    <w:p w14:paraId="23664B72">
      <w:pPr>
        <w:keepNext w:val="0"/>
        <w:keepLines w:val="0"/>
        <w:widowControl/>
        <w:numPr>
          <w:ilvl w:val="0"/>
          <w:numId w:val="8"/>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Повысить адресность и прозрачность региональных доплат, учитывая индивидуальные потребности и заслуги педагогов.</w:t>
      </w:r>
    </w:p>
    <w:p w14:paraId="534DF256">
      <w:pPr>
        <w:keepNext w:val="0"/>
        <w:keepLines w:val="0"/>
        <w:widowControl/>
        <w:numPr>
          <w:ilvl w:val="0"/>
          <w:numId w:val="8"/>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Усилить информирование педагогов о всех возможностях получения выплат и доплат, в том числе через создание информационных порталов и проведение консультаций.</w:t>
      </w:r>
    </w:p>
    <w:p w14:paraId="40EA87C0">
      <w:pPr>
        <w:keepNext w:val="0"/>
        <w:keepLines w:val="0"/>
        <w:widowControl/>
        <w:numPr>
          <w:ilvl w:val="0"/>
          <w:numId w:val="8"/>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Улучшить индексацию пенсий с учетом реальных темпов роста стоимости жизни в регионе.</w:t>
      </w:r>
    </w:p>
    <w:p w14:paraId="30DE678F">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6. Модель адресной региональной надбавки для педагогов-пенсионеров Алтайского края</w:t>
      </w:r>
    </w:p>
    <w:p w14:paraId="7FEECF91">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В качестве меры по повышению уровня пенсионного обеспечения педагогов, проработавших в сельской местности, предлагается ввести адресную региональную надбавку «Сельский стаж + 5 ПК (пенсионных коэффициентов) в год». Данная надбавка будет рассчитываться следующим образом:</w:t>
      </w:r>
    </w:p>
    <w:p w14:paraId="06CF3AC5">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Надбавка=Сельский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стаж×5×СИПК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Надбавка = Сельский стаж × 5 × СИПК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Надбавка=Сельский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стаж×5×СИПК</w:t>
      </w:r>
      <w:bookmarkStart w:id="0" w:name="_GoBack"/>
      <w:bookmarkEnd w:id="0"/>
    </w:p>
    <w:p w14:paraId="5E7D388D">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где:</w:t>
      </w:r>
    </w:p>
    <w:p w14:paraId="1513E5D2">
      <w:pPr>
        <w:keepNext w:val="0"/>
        <w:keepLines w:val="0"/>
        <w:widowControl/>
        <w:numPr>
          <w:ilvl w:val="0"/>
          <w:numId w:val="9"/>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Сельский стаж – количество лет, проработанных педагогом в сельской местности;</w:t>
      </w:r>
    </w:p>
    <w:p w14:paraId="6D9FC822">
      <w:pPr>
        <w:keepNext w:val="0"/>
        <w:keepLines w:val="0"/>
        <w:widowControl/>
        <w:numPr>
          <w:ilvl w:val="0"/>
          <w:numId w:val="9"/>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5 – коэффициент, отражающий дополнительную ценность сельского стажа;</w:t>
      </w:r>
    </w:p>
    <w:p w14:paraId="3424FC58">
      <w:pPr>
        <w:keepNext w:val="0"/>
        <w:keepLines w:val="0"/>
        <w:widowControl/>
        <w:numPr>
          <w:ilvl w:val="0"/>
          <w:numId w:val="9"/>
        </w:numPr>
        <w:suppressLineNumbers w:val="0"/>
        <w:spacing w:before="0" w:beforeAutospacing="1" w:after="0" w:afterAutospacing="1"/>
        <w:ind w:left="720" w:hanging="360"/>
        <w:jc w:val="left"/>
        <w:rPr>
          <w:rFonts w:hint="default" w:ascii="Times New Roman" w:hAnsi="Times New Roman" w:cs="Times New Roman"/>
          <w:sz w:val="28"/>
          <w:szCs w:val="28"/>
        </w:rPr>
      </w:pPr>
      <w:r>
        <w:rPr>
          <w:rFonts w:hint="default" w:ascii="Times New Roman" w:hAnsi="Times New Roman" w:cs="Times New Roman"/>
          <w:sz w:val="28"/>
          <w:szCs w:val="28"/>
        </w:rPr>
        <w:t>СИПК – стоимость одного пенсионного коэффициента, устанавливаемая ежегодно государством.</w:t>
      </w:r>
    </w:p>
    <w:p w14:paraId="607808EB">
      <w:pPr>
        <w:pStyle w:val="5"/>
        <w:keepNext w:val="0"/>
        <w:keepLines w:val="0"/>
        <w:widowControl/>
        <w:suppressLineNumbers w:val="0"/>
        <w:jc w:val="left"/>
        <w:rPr>
          <w:rFonts w:hint="default" w:ascii="Times New Roman" w:hAnsi="Times New Roman" w:cs="Times New Roman"/>
          <w:sz w:val="28"/>
          <w:szCs w:val="28"/>
        </w:rPr>
      </w:pPr>
      <w:r>
        <w:rPr>
          <w:rFonts w:hint="default" w:ascii="Times New Roman" w:hAnsi="Times New Roman" w:cs="Times New Roman"/>
          <w:sz w:val="28"/>
          <w:szCs w:val="28"/>
        </w:rPr>
        <w:t>Введение данной надбавки позволит повысить уровень пенсионного обеспечения педагогов, проработавших в сельской местности, и будет способствовать закреплению кадров в сельских школах.</w:t>
      </w:r>
    </w:p>
    <w:p w14:paraId="1D115545">
      <w:pPr>
        <w:pStyle w:val="5"/>
        <w:keepNext w:val="0"/>
        <w:keepLines w:val="0"/>
        <w:widowControl/>
        <w:suppressLineNumbers w:val="0"/>
        <w:jc w:val="left"/>
        <w:rPr>
          <w:rFonts w:hint="default" w:ascii="Times New Roman" w:hAnsi="Times New Roman" w:cs="Times New Roman"/>
          <w:sz w:val="28"/>
          <w:szCs w:val="28"/>
        </w:rPr>
      </w:pPr>
      <w:r>
        <w:rPr>
          <w:rStyle w:val="4"/>
          <w:rFonts w:hint="default" w:ascii="Times New Roman" w:hAnsi="Times New Roman" w:cs="Times New Roman"/>
          <w:sz w:val="28"/>
          <w:szCs w:val="28"/>
        </w:rPr>
        <w:t>Выводы</w:t>
      </w:r>
    </w:p>
    <w:p w14:paraId="7CF02E07">
      <w:pPr>
        <w:pStyle w:val="5"/>
        <w:keepNext w:val="0"/>
        <w:keepLines w:val="0"/>
        <w:widowControl/>
        <w:suppressLineNumbers w:val="0"/>
        <w:ind w:firstLine="420" w:firstLineChars="150"/>
        <w:jc w:val="left"/>
        <w:rPr>
          <w:rFonts w:hint="default" w:ascii="Times New Roman" w:hAnsi="Times New Roman" w:cs="Times New Roman"/>
          <w:sz w:val="28"/>
          <w:szCs w:val="28"/>
        </w:rPr>
      </w:pPr>
      <w:r>
        <w:rPr>
          <w:rFonts w:hint="default" w:ascii="Times New Roman" w:hAnsi="Times New Roman" w:cs="Times New Roman"/>
          <w:sz w:val="28"/>
          <w:szCs w:val="28"/>
        </w:rPr>
        <w:t>Экономика пенсионного обеспечения педагогов представляет собой многоаспектную область, сочетающую экономические, правовые и социальные аспекты. Низкий уровень пенсий, особенности учета стажа, проблемы недофинансирования и необходимость совершенствования региональных механизмов социальной поддержки требуют комплексного подхода с учетом интересов педагогов, государства и общества.</w:t>
      </w:r>
    </w:p>
    <w:p w14:paraId="560677C2">
      <w:pPr>
        <w:pStyle w:val="5"/>
        <w:keepNext w:val="0"/>
        <w:keepLines w:val="0"/>
        <w:widowControl/>
        <w:suppressLineNumbers w:val="0"/>
        <w:ind w:firstLine="420" w:firstLineChars="150"/>
        <w:jc w:val="left"/>
        <w:rPr>
          <w:rFonts w:hint="default" w:ascii="Times New Roman" w:hAnsi="Times New Roman" w:cs="Times New Roman"/>
          <w:sz w:val="28"/>
          <w:szCs w:val="28"/>
        </w:rPr>
      </w:pPr>
      <w:r>
        <w:rPr>
          <w:rFonts w:hint="default" w:ascii="Times New Roman" w:hAnsi="Times New Roman" w:cs="Times New Roman"/>
          <w:sz w:val="28"/>
          <w:szCs w:val="28"/>
        </w:rPr>
        <w:t>В Алтайском крае ситуацию усугубляют демографические вызовы, низкие доходы населения и высокая доля сельских педагогов. Предложенная модель адресной региональной надбавки может стать одним из инструментов повышения уровня пенсионного обеспечения педагогов, проработавших в сельской местности.</w:t>
      </w:r>
    </w:p>
    <w:p w14:paraId="0BCAF9D6">
      <w:pPr>
        <w:jc w:val="left"/>
        <w:rPr>
          <w:rFonts w:hint="default" w:ascii="Times New Roman" w:hAnsi="Times New Roman" w:cs="Times New Roman"/>
          <w:sz w:val="28"/>
          <w:szCs w:val="28"/>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auto"/>
    <w:pitch w:val="default"/>
    <w:sig w:usb0="00000000" w:usb1="00000000" w:usb2="00000000" w:usb3="00000000" w:csb0="80000000" w:csb1="00000000"/>
  </w:font>
  <w:font w:name="KaTeX_Math 0 0 0 0 0 0 0 1 1 pr">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A38452"/>
    <w:multiLevelType w:val="multilevel"/>
    <w:tmpl w:val="93A3845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A73577D5"/>
    <w:multiLevelType w:val="multilevel"/>
    <w:tmpl w:val="A73577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2">
    <w:nsid w:val="AFA97CE8"/>
    <w:multiLevelType w:val="multilevel"/>
    <w:tmpl w:val="AFA97C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3">
    <w:nsid w:val="B9043650"/>
    <w:multiLevelType w:val="multilevel"/>
    <w:tmpl w:val="B904365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C4E51BF5"/>
    <w:multiLevelType w:val="multilevel"/>
    <w:tmpl w:val="C4E51BF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5">
    <w:nsid w:val="FBD5B0B6"/>
    <w:multiLevelType w:val="multilevel"/>
    <w:tmpl w:val="FBD5B0B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6">
    <w:nsid w:val="0B6B4E16"/>
    <w:multiLevelType w:val="multilevel"/>
    <w:tmpl w:val="0B6B4E1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7">
    <w:nsid w:val="4E469FE3"/>
    <w:multiLevelType w:val="multilevel"/>
    <w:tmpl w:val="4E469FE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8">
    <w:nsid w:val="5D54AF4D"/>
    <w:multiLevelType w:val="multilevel"/>
    <w:tmpl w:val="5D54AF4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2"/>
  </w:num>
  <w:num w:numId="2">
    <w:abstractNumId w:val="1"/>
  </w:num>
  <w:num w:numId="3">
    <w:abstractNumId w:val="3"/>
  </w:num>
  <w:num w:numId="4">
    <w:abstractNumId w:val="4"/>
  </w:num>
  <w:num w:numId="5">
    <w:abstractNumId w:val="7"/>
  </w:num>
  <w:num w:numId="6">
    <w:abstractNumId w:val="8"/>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01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Strong"/>
    <w:basedOn w:val="2"/>
    <w:qFormat/>
    <w:uiPriority w:val="0"/>
    <w:rPr>
      <w:b/>
      <w:b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26</TotalTime>
  <ScaleCrop>false</ScaleCrop>
  <LinksUpToDate>false</LinksUpToDate>
  <CharactersWithSpaces>0</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2025-09-14T10:48:40Z</dcterms:created>
  <dc:creator>anast</dc:creator>
  <cp:lastModifiedBy>anast</cp:lastModifiedBy>
  <dcterms:modified xsi:type="dcterms:W3CDTF">2025-09-14T11:26:49Z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DD8C4620EC274141B414155F964719E3_12</vt:lpwstr>
  </property>
</Properties>
</file>