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D75F7" w:rsidRDefault="008B557D" w:rsidP="00C90A0F">
      <w:pPr>
        <w:ind w:firstLine="709"/>
        <w:jc w:val="right"/>
        <w:rPr>
          <w:color w:val="000000" w:themeColor="text1"/>
        </w:rPr>
      </w:pPr>
      <w:r>
        <w:rPr>
          <w:color w:val="000000" w:themeColor="text1"/>
        </w:rPr>
        <w:t>Рогачева Светлана Александровна</w:t>
      </w:r>
    </w:p>
    <w:p w:rsidR="006D75F7" w:rsidRDefault="006D75F7" w:rsidP="00C90A0F">
      <w:pPr>
        <w:ind w:firstLine="709"/>
        <w:jc w:val="right"/>
        <w:rPr>
          <w:color w:val="000000" w:themeColor="text1"/>
        </w:rPr>
      </w:pPr>
      <w:r>
        <w:rPr>
          <w:color w:val="000000" w:themeColor="text1"/>
        </w:rPr>
        <w:t>Магистратура 1 курса</w:t>
      </w:r>
      <w:r w:rsidR="008B557D">
        <w:rPr>
          <w:color w:val="000000" w:themeColor="text1"/>
        </w:rPr>
        <w:t>, группа АМЗЮ 11</w:t>
      </w:r>
    </w:p>
    <w:p w:rsidR="006D75F7" w:rsidRDefault="006D75F7" w:rsidP="00C90A0F">
      <w:pPr>
        <w:ind w:firstLine="709"/>
        <w:jc w:val="right"/>
        <w:rPr>
          <w:color w:val="000000" w:themeColor="text1"/>
        </w:rPr>
      </w:pPr>
      <w:r>
        <w:rPr>
          <w:color w:val="000000" w:themeColor="text1"/>
        </w:rPr>
        <w:t xml:space="preserve">Донской государственный технический университет </w:t>
      </w:r>
    </w:p>
    <w:p w:rsidR="006D75F7" w:rsidRPr="006D75F7" w:rsidRDefault="006D75F7" w:rsidP="00C90A0F">
      <w:pPr>
        <w:ind w:firstLine="709"/>
        <w:jc w:val="center"/>
        <w:rPr>
          <w:b/>
          <w:bCs/>
          <w:color w:val="000000" w:themeColor="text1"/>
          <w:sz w:val="32"/>
          <w:szCs w:val="32"/>
        </w:rPr>
      </w:pPr>
    </w:p>
    <w:p w:rsidR="006D75F7" w:rsidRPr="00C90A0F" w:rsidRDefault="008B557D" w:rsidP="00C90A0F">
      <w:pPr>
        <w:ind w:firstLine="709"/>
        <w:jc w:val="center"/>
        <w:rPr>
          <w:b/>
          <w:bCs/>
          <w:color w:val="000000" w:themeColor="text1"/>
          <w:sz w:val="28"/>
          <w:szCs w:val="28"/>
        </w:rPr>
      </w:pPr>
      <w:r w:rsidRPr="00C90A0F">
        <w:rPr>
          <w:b/>
          <w:bCs/>
          <w:color w:val="000000" w:themeColor="text1"/>
          <w:sz w:val="28"/>
          <w:szCs w:val="28"/>
        </w:rPr>
        <w:t>Основные принципы и механизмы защиты прав юридических лиц: исторический аспект и современные подходы</w:t>
      </w:r>
    </w:p>
    <w:p w:rsidR="008B557D" w:rsidRDefault="008B557D" w:rsidP="00C90A0F">
      <w:pPr>
        <w:jc w:val="both"/>
        <w:rPr>
          <w:color w:val="000000" w:themeColor="text1"/>
        </w:rPr>
      </w:pPr>
    </w:p>
    <w:p w:rsidR="008B557D" w:rsidRPr="0078273B" w:rsidRDefault="008B557D" w:rsidP="00C90A0F">
      <w:pPr>
        <w:ind w:firstLine="709"/>
        <w:jc w:val="both"/>
        <w:rPr>
          <w:color w:val="000000" w:themeColor="text1"/>
          <w:sz w:val="28"/>
          <w:szCs w:val="28"/>
        </w:rPr>
      </w:pPr>
      <w:r w:rsidRPr="0078273B">
        <w:rPr>
          <w:color w:val="000000" w:themeColor="text1"/>
          <w:sz w:val="28"/>
          <w:szCs w:val="28"/>
        </w:rPr>
        <w:t>В данной научной статье рассматриваются ключевые этапы становления правового статуса юридических лиц, а также проводится их сравнительный анализ с современными концепциями, основанными на принципах правового государства, верховенства права и международных стандарт</w:t>
      </w:r>
      <w:r w:rsidR="0078273B" w:rsidRPr="0078273B">
        <w:rPr>
          <w:color w:val="000000" w:themeColor="text1"/>
          <w:sz w:val="28"/>
          <w:szCs w:val="28"/>
        </w:rPr>
        <w:t xml:space="preserve">ов. Особое внимание уделяется механизмам обеспечения прав юридических лиц, включая судебную защиту, административные процедуры, институты саморегулирования и альтернативные способы разрешения споров, с целью оценки их эффективности, выявления недостатков и предложений путей их совершенствования в условиях динамично меняющегося правового пространства. Кроме того, в работе проводится сравнительный анализ зарубежных моделей защиты прав юридических лиц, что позволяет определить перспективные направления адаптации и внедрения этих практик в национальную правовую систему. В результате исследования предполагается сформировать комплексное представление о том, как исторические традиции и современные подходы взаимно обогащают теорию и практику защиты прав юридических лиц, а также обозначить ориентиры для дальнейшего совершенствования правовых механизмов в условиях глобализации и </w:t>
      </w:r>
      <w:proofErr w:type="spellStart"/>
      <w:r w:rsidR="0078273B" w:rsidRPr="0078273B">
        <w:rPr>
          <w:color w:val="000000" w:themeColor="text1"/>
          <w:sz w:val="28"/>
          <w:szCs w:val="28"/>
        </w:rPr>
        <w:t>цифровизации</w:t>
      </w:r>
      <w:proofErr w:type="spellEnd"/>
      <w:r w:rsidR="0078273B" w:rsidRPr="0078273B">
        <w:rPr>
          <w:color w:val="000000" w:themeColor="text1"/>
          <w:sz w:val="28"/>
          <w:szCs w:val="28"/>
        </w:rPr>
        <w:t xml:space="preserve"> общества. </w:t>
      </w:r>
    </w:p>
    <w:p w:rsidR="008B557D" w:rsidRPr="0078273B" w:rsidRDefault="008B557D" w:rsidP="00C90A0F">
      <w:pPr>
        <w:jc w:val="both"/>
        <w:rPr>
          <w:color w:val="000000" w:themeColor="text1"/>
          <w:sz w:val="28"/>
          <w:szCs w:val="28"/>
        </w:rPr>
      </w:pPr>
    </w:p>
    <w:p w:rsidR="006D75F7" w:rsidRPr="0078273B" w:rsidRDefault="006D75F7" w:rsidP="00C90A0F">
      <w:pPr>
        <w:ind w:firstLine="709"/>
        <w:jc w:val="both"/>
        <w:rPr>
          <w:color w:val="000000" w:themeColor="text1"/>
          <w:sz w:val="28"/>
          <w:szCs w:val="28"/>
        </w:rPr>
      </w:pPr>
      <w:r w:rsidRPr="0078273B">
        <w:rPr>
          <w:b/>
          <w:bCs/>
          <w:color w:val="000000" w:themeColor="text1"/>
          <w:sz w:val="28"/>
          <w:szCs w:val="28"/>
        </w:rPr>
        <w:t>Ключевые слова:</w:t>
      </w:r>
      <w:r w:rsidRPr="0078273B">
        <w:rPr>
          <w:color w:val="000000" w:themeColor="text1"/>
          <w:sz w:val="28"/>
          <w:szCs w:val="28"/>
        </w:rPr>
        <w:t xml:space="preserve"> </w:t>
      </w:r>
      <w:r w:rsidR="0078273B" w:rsidRPr="0078273B">
        <w:rPr>
          <w:color w:val="000000" w:themeColor="text1"/>
          <w:sz w:val="28"/>
          <w:szCs w:val="28"/>
        </w:rPr>
        <w:t xml:space="preserve">механизмы защиты </w:t>
      </w:r>
      <w:r w:rsidR="00DD63E3" w:rsidRPr="0078273B">
        <w:rPr>
          <w:color w:val="000000" w:themeColor="text1"/>
          <w:sz w:val="28"/>
          <w:szCs w:val="28"/>
        </w:rPr>
        <w:t>прав, правовой</w:t>
      </w:r>
      <w:r w:rsidR="0078273B" w:rsidRPr="0078273B">
        <w:rPr>
          <w:color w:val="000000" w:themeColor="text1"/>
          <w:sz w:val="28"/>
          <w:szCs w:val="28"/>
        </w:rPr>
        <w:t xml:space="preserve"> статус юридических лиц, автономия юридического лица, правовые средства защиты, институты саморегулирования, глобализация и </w:t>
      </w:r>
      <w:proofErr w:type="spellStart"/>
      <w:r w:rsidR="0078273B" w:rsidRPr="0078273B">
        <w:rPr>
          <w:color w:val="000000" w:themeColor="text1"/>
          <w:sz w:val="28"/>
          <w:szCs w:val="28"/>
        </w:rPr>
        <w:t>цифровизация</w:t>
      </w:r>
      <w:proofErr w:type="spellEnd"/>
      <w:r w:rsidR="0078273B" w:rsidRPr="0078273B">
        <w:rPr>
          <w:color w:val="000000" w:themeColor="text1"/>
          <w:sz w:val="28"/>
          <w:szCs w:val="28"/>
        </w:rPr>
        <w:t xml:space="preserve">, правовое пространство, защита прав юридических лиц, эволюция законодательства. </w:t>
      </w:r>
    </w:p>
    <w:p w:rsidR="00FA5E0E" w:rsidRPr="00C90A0F" w:rsidRDefault="00FA5E0E" w:rsidP="00C90A0F">
      <w:pPr>
        <w:pStyle w:val="a5"/>
        <w:spacing w:before="0" w:beforeAutospacing="0" w:after="0" w:afterAutospacing="0"/>
        <w:jc w:val="both"/>
        <w:rPr>
          <w:color w:val="000000"/>
          <w:sz w:val="28"/>
          <w:szCs w:val="28"/>
          <w:lang w:val="en-US"/>
        </w:rPr>
      </w:pPr>
    </w:p>
    <w:p w:rsidR="00CB3871" w:rsidRDefault="00FA5E0E" w:rsidP="00C90A0F">
      <w:pPr>
        <w:pStyle w:val="a5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 современном мире функционирование юридических лиц является неотъемлемой составляющей экономической и социальной жизни любого государства. Обеспечение эффективной защиты прав юридических лиц приобретает особую актуальность в условиях динамично меняющихся правовых, экономических и политических условий, а также в связи с глобализацией и интеграционными процессами. Защиты прав юридических лиц способствует стабильности делового оборота, укреплению правового порядка и формированию благоприятного инвестиционного климата, а также обеспечивает баланс интересов участников гражданского оборота и государства. </w:t>
      </w:r>
    </w:p>
    <w:p w:rsidR="00CB3871" w:rsidRDefault="00FA5E0E" w:rsidP="00C90A0F">
      <w:pPr>
        <w:pStyle w:val="a5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 современных условиях актуальными становятся вопросы совершенствования существующих механизмов защиты, а также развитие новых подходов, учитывающих глобальные вызовы и особенности цифровой экономики. Поэтому изучение основных принципов и механизмов защиты </w:t>
      </w:r>
      <w:r>
        <w:rPr>
          <w:color w:val="000000"/>
          <w:sz w:val="28"/>
          <w:szCs w:val="28"/>
        </w:rPr>
        <w:lastRenderedPageBreak/>
        <w:t>прав юридических лиц, их исторических корней и современных тенденций представляет собой важную научную и практическую задачу, способствующую формированию эффективной правовой базы и повышению правовой культуры в сфере корпоративного права.</w:t>
      </w:r>
    </w:p>
    <w:p w:rsidR="00FA5E0E" w:rsidRDefault="00FA5E0E" w:rsidP="00C90A0F">
      <w:pPr>
        <w:pStyle w:val="a5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Юридические лица – это организованные на основании закона или учредительных документов самостоятельные субъекты права, </w:t>
      </w:r>
      <w:r w:rsidR="00DD63E3">
        <w:rPr>
          <w:color w:val="000000"/>
          <w:sz w:val="28"/>
          <w:szCs w:val="28"/>
        </w:rPr>
        <w:t>обладающие</w:t>
      </w:r>
      <w:r>
        <w:rPr>
          <w:color w:val="000000"/>
          <w:sz w:val="28"/>
          <w:szCs w:val="28"/>
        </w:rPr>
        <w:t xml:space="preserve"> гражданскими правами и обязанностями, отличными от прав и обязанностей их участников или учредителей. Они выступают в правовой сфере как отдельн</w:t>
      </w:r>
      <w:r w:rsidR="00DD63E3">
        <w:rPr>
          <w:color w:val="000000"/>
          <w:sz w:val="28"/>
          <w:szCs w:val="28"/>
        </w:rPr>
        <w:t>ые</w:t>
      </w:r>
      <w:r>
        <w:rPr>
          <w:color w:val="000000"/>
          <w:sz w:val="28"/>
          <w:szCs w:val="28"/>
        </w:rPr>
        <w:t xml:space="preserve"> участники гражданских, административных и иных правоотношений, что позволяет им, например, владеть имуществом, заключать договоры, выступать истцами или ответчиками в суде. Основными признаками юридических лиц являются их имущественная самостоятельность, наличие организованной структуры с уставом и </w:t>
      </w:r>
      <w:r w:rsidR="00DD63E3">
        <w:rPr>
          <w:color w:val="000000"/>
          <w:sz w:val="28"/>
          <w:szCs w:val="28"/>
        </w:rPr>
        <w:t>органами</w:t>
      </w:r>
      <w:r>
        <w:rPr>
          <w:color w:val="000000"/>
          <w:sz w:val="28"/>
          <w:szCs w:val="28"/>
        </w:rPr>
        <w:t xml:space="preserve"> управления, способность иметь права и нести </w:t>
      </w:r>
      <w:r w:rsidR="00DD63E3">
        <w:rPr>
          <w:color w:val="000000"/>
          <w:sz w:val="28"/>
          <w:szCs w:val="28"/>
        </w:rPr>
        <w:t>обязанности</w:t>
      </w:r>
      <w:r>
        <w:rPr>
          <w:color w:val="000000"/>
          <w:sz w:val="28"/>
          <w:szCs w:val="28"/>
        </w:rPr>
        <w:t xml:space="preserve">, а также ответственность по обязательствам в пределах своего имущества. </w:t>
      </w:r>
      <w:r w:rsidR="00DD63E3">
        <w:rPr>
          <w:color w:val="000000"/>
          <w:sz w:val="28"/>
          <w:szCs w:val="28"/>
        </w:rPr>
        <w:t xml:space="preserve">Например, акционерное общество обладает своим имуществом, отделенными от имущества его участников, и действует через назначенные органы управления, такие как совет директоров или генеральный директор. </w:t>
      </w:r>
    </w:p>
    <w:p w:rsidR="00DD63E3" w:rsidRDefault="00DD63E3" w:rsidP="00C90A0F">
      <w:pPr>
        <w:pStyle w:val="a5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Значение защиты прав юридических лиц в системе современного права трудно переоценить. Она обеспечивает стабильность и предсказуемость делового оборота, что особенно важно для развития экономики и формирования доверия к правовой системе. Благодаря эффективной защите юридические лица могут свободно осуществлять свои хозяйственные и иные виды деятельности, защищая свои имущественные и неимущественные интересы. Например, если компания сталкивается с неправомерными действиями со стороны конкурентов или нарушениями со сторона государственных органов, наличие действенных механизмов защиты позволяет ей быстро и эффективно отстоять свои права. В свою очередь, это способствует развитию честной конкуренции, стимулирует инвестиционную активность и укрепляет доверие как внутри страны, так и на международной арене. В условиях современного развития экономики и правового государства обеспечение надежных механизмов защиты прав юридических лиц является важной задачей, поскольку только при наличии правовых гарантий их деятельности можно обеспечить устойчивое развитие бизнеса и общий общественный интерес. </w:t>
      </w:r>
    </w:p>
    <w:p w:rsidR="00DD63E3" w:rsidRDefault="00DD63E3" w:rsidP="00C90A0F">
      <w:pPr>
        <w:pStyle w:val="a5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Основные принципы защиты прав юридических лиц закреплены в законодательстве РФ. так, в Гражданском Кодексе РФ выделяются принципы равенства участников гражданских правоотношений (ст. 1 ГК РФ), свободы и недопустимости произвольного вмешательства в деятельность юридических лиц (ст. 2 ГК РФ), а также принцип добросовестности ст. 5 ГК РФ</w:t>
      </w:r>
      <w:r w:rsidR="000514F3">
        <w:rPr>
          <w:rStyle w:val="af"/>
          <w:color w:val="000000"/>
          <w:sz w:val="28"/>
          <w:szCs w:val="28"/>
        </w:rPr>
        <w:footnoteReference w:id="1"/>
      </w:r>
      <w:r>
        <w:rPr>
          <w:color w:val="000000"/>
          <w:sz w:val="28"/>
          <w:szCs w:val="28"/>
        </w:rPr>
        <w:t xml:space="preserve">. особое значение имеет статья 4 ГК РФ, которая закрепляет право юридических лиц на </w:t>
      </w:r>
      <w:r>
        <w:rPr>
          <w:color w:val="000000"/>
          <w:sz w:val="28"/>
          <w:szCs w:val="28"/>
        </w:rPr>
        <w:lastRenderedPageBreak/>
        <w:t>самостоятельное осуществление своей деятельности</w:t>
      </w:r>
      <w:r w:rsidR="001C7E5C">
        <w:rPr>
          <w:color w:val="000000"/>
          <w:sz w:val="28"/>
          <w:szCs w:val="28"/>
        </w:rPr>
        <w:t xml:space="preserve"> и защиту своих прав. Также важны положения Федерального закона №14-ФЗ «Об обществах с ограниченной ответственностью»</w:t>
      </w:r>
      <w:r w:rsidR="000514F3">
        <w:rPr>
          <w:rStyle w:val="af"/>
          <w:color w:val="000000"/>
          <w:sz w:val="28"/>
          <w:szCs w:val="28"/>
        </w:rPr>
        <w:footnoteReference w:id="2"/>
      </w:r>
      <w:r w:rsidR="001C7E5C">
        <w:rPr>
          <w:color w:val="000000"/>
          <w:sz w:val="28"/>
          <w:szCs w:val="28"/>
        </w:rPr>
        <w:t xml:space="preserve"> и №208-ФЗ «Об акционерных обществах»</w:t>
      </w:r>
      <w:r w:rsidR="000514F3">
        <w:rPr>
          <w:rStyle w:val="af"/>
          <w:color w:val="000000"/>
          <w:sz w:val="28"/>
          <w:szCs w:val="28"/>
        </w:rPr>
        <w:footnoteReference w:id="3"/>
      </w:r>
      <w:r w:rsidR="001C7E5C">
        <w:rPr>
          <w:color w:val="000000"/>
          <w:sz w:val="28"/>
          <w:szCs w:val="28"/>
        </w:rPr>
        <w:t xml:space="preserve">, где определены гарантии защиты прав участников и акционеров, а также порядок их судебной защиты. Эти нормативные акты формируют основу для обеспечения прав юридических лиц и их защиты в правовой системе России. </w:t>
      </w:r>
    </w:p>
    <w:p w:rsidR="001C7E5C" w:rsidRDefault="001C7E5C" w:rsidP="00C90A0F">
      <w:pPr>
        <w:pStyle w:val="a5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Зарубежный опыт в области защиты прав юридических лиц включает различные модели и этапы развития, отражающие особенности правовых систем отдельных стран. Например, в англосаксонской системе преобладает модель корпоративной автономии и судебной защиты, где суды активно защищают интересы юридических лиц, обеспечивая их эффективность и стабильность. В континентальной Европе особое внимание уделяется укреплению правовой ответственности и защите участников, а также развитию институциональных механизмов защиты. Основные этапы развития включают эволюцию законодательства, создание специализированных судов и институтов, а также внедрение международных стандартов и норм. </w:t>
      </w:r>
    </w:p>
    <w:p w:rsidR="001C7E5C" w:rsidRDefault="001C7E5C" w:rsidP="00C90A0F">
      <w:pPr>
        <w:pStyle w:val="a5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Международные стандарты и норм, такие как Рекомендации ООН по корпоративному управлению  </w:t>
      </w:r>
      <w:r w:rsidRPr="00CA1325">
        <w:rPr>
          <w:color w:val="000000"/>
          <w:sz w:val="28"/>
          <w:szCs w:val="28"/>
        </w:rPr>
        <w:t>(</w:t>
      </w:r>
      <w:r>
        <w:rPr>
          <w:color w:val="000000"/>
          <w:sz w:val="28"/>
          <w:szCs w:val="28"/>
          <w:lang w:val="en-US"/>
        </w:rPr>
        <w:t>UN</w:t>
      </w:r>
      <w:r w:rsidRPr="00CA1325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en-US"/>
        </w:rPr>
        <w:t>G</w:t>
      </w:r>
      <w:r w:rsidR="00CA1325">
        <w:rPr>
          <w:color w:val="000000"/>
          <w:sz w:val="28"/>
          <w:szCs w:val="28"/>
          <w:lang w:val="en-US"/>
        </w:rPr>
        <w:t>uidelines</w:t>
      </w:r>
      <w:r w:rsidR="00CA1325" w:rsidRPr="00CA1325">
        <w:rPr>
          <w:color w:val="000000"/>
          <w:sz w:val="28"/>
          <w:szCs w:val="28"/>
        </w:rPr>
        <w:t xml:space="preserve"> </w:t>
      </w:r>
      <w:r w:rsidR="00CA1325">
        <w:rPr>
          <w:color w:val="000000"/>
          <w:sz w:val="28"/>
          <w:szCs w:val="28"/>
          <w:lang w:val="en-US"/>
        </w:rPr>
        <w:t>on</w:t>
      </w:r>
      <w:r w:rsidR="00CA1325" w:rsidRPr="00CA1325">
        <w:rPr>
          <w:color w:val="000000"/>
          <w:sz w:val="28"/>
          <w:szCs w:val="28"/>
        </w:rPr>
        <w:t xml:space="preserve"> </w:t>
      </w:r>
      <w:r w:rsidR="00CA1325">
        <w:rPr>
          <w:color w:val="000000"/>
          <w:sz w:val="28"/>
          <w:szCs w:val="28"/>
          <w:lang w:val="en-US"/>
        </w:rPr>
        <w:t>Corporate</w:t>
      </w:r>
      <w:r w:rsidR="00CA1325" w:rsidRPr="00CA1325">
        <w:rPr>
          <w:color w:val="000000"/>
          <w:sz w:val="28"/>
          <w:szCs w:val="28"/>
        </w:rPr>
        <w:t xml:space="preserve"> </w:t>
      </w:r>
      <w:r w:rsidR="00CA1325">
        <w:rPr>
          <w:color w:val="000000"/>
          <w:sz w:val="28"/>
          <w:szCs w:val="28"/>
          <w:lang w:val="en-US"/>
        </w:rPr>
        <w:t>Governance</w:t>
      </w:r>
      <w:r w:rsidR="00CA1325" w:rsidRPr="00CA1325">
        <w:rPr>
          <w:color w:val="000000"/>
          <w:sz w:val="28"/>
          <w:szCs w:val="28"/>
        </w:rPr>
        <w:t>),</w:t>
      </w:r>
      <w:r w:rsidR="00CA1325">
        <w:rPr>
          <w:color w:val="000000"/>
          <w:sz w:val="28"/>
          <w:szCs w:val="28"/>
        </w:rPr>
        <w:t xml:space="preserve"> Директива Европейского парламента и Совета о поощрении долгосрочной ориентации в корпоративном управлении, или Рамочная конвенция ООН по борьбе с коррупцией, оказывают значительное влияние на формирование современных подходов, стимулируя гармонизацию правовых систем и повышение уровня защиты прав юридических лиц. Они способствуют унификации требований, обеспечивают баланс интересов и создают единые стандарты защиты, что важно для международной деятельности и инвестиций, а также позволяют учитывать глобальные тенденции в развитии правового регулирования. </w:t>
      </w:r>
    </w:p>
    <w:p w:rsidR="00CA1325" w:rsidRDefault="001C4C45" w:rsidP="00C90A0F">
      <w:pPr>
        <w:pStyle w:val="a5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Механизмы защиты включают разнообразные инструменты, такие как административные и судебные процедуры, специальные органы, а также внутренние механизмы корпоративного управления. В числе ключевых механизмов – возможность обращения в суд для защиты прав и интересов, подача исков и признании недействительности сделок или решений, а также применение мер обеспечительной и восстановительной направленности. </w:t>
      </w:r>
    </w:p>
    <w:p w:rsidR="001C4C45" w:rsidRDefault="001C4C45" w:rsidP="00C90A0F">
      <w:pPr>
        <w:pStyle w:val="a5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Судебная защиты занимает центральное место в системе механизмов защиты. Она позволяет юридическим лицам обращаться в суд для защиты своих прав и интересов при нарушениях со сторона третьих лиц или государственных органов. Роль судебной защиты заключается в обеспечении законности, восстановлении нарушенных прав, предотвращении </w:t>
      </w:r>
      <w:r>
        <w:rPr>
          <w:color w:val="000000"/>
          <w:sz w:val="28"/>
          <w:szCs w:val="28"/>
        </w:rPr>
        <w:lastRenderedPageBreak/>
        <w:t xml:space="preserve">злоупотреблений и укреплении правового порядка. Судебные решения создают прецеденты, формируют правовую практику и способствуют развитию правового регулирования, делая систему защиты более предсказуемой и надежной. В современном правовом пространстве эффективная судебная защиты является одним из важнейших условий стабильности и развития бизнеса. </w:t>
      </w:r>
    </w:p>
    <w:p w:rsidR="001C4C45" w:rsidRDefault="004E0703" w:rsidP="00C90A0F">
      <w:pPr>
        <w:pStyle w:val="a5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Институты саморегулирования и альтернативные способы разрешения споров являются важными элементами современной системы защиты прав юридических лиц, особенно в контексте повышения эффективности, гибкости и снижения нагрузки на судебную систему. </w:t>
      </w:r>
    </w:p>
    <w:p w:rsidR="004E0703" w:rsidRDefault="004E0703" w:rsidP="00C90A0F">
      <w:pPr>
        <w:pStyle w:val="a5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Институты саморегулирования представляют собой объединения юридических лиц, созданные на основе добровольных соглашений, которые разрабатывают и реализуют стандарты, правила и процедуры в определенных сферах деятельности. Они выступают как вспомогательные механизмы защиты прав, обеспечивая контроль за соблюдением корпоративных стандартов, регулирование внутриотраслевых отношений и разрешение споров без обращения в суд. В качестве нормативных актов, регулирующих деятельность институтов саморегулирования, выступают федеральные законы, например. Федеральный закон «О саморегулируемых организациях» №315-ФЗ, а также внутренние уставы и регламенты саморегулируемых организаций</w:t>
      </w:r>
      <w:r w:rsidR="000514F3">
        <w:rPr>
          <w:rStyle w:val="af"/>
          <w:color w:val="000000"/>
          <w:sz w:val="28"/>
          <w:szCs w:val="28"/>
        </w:rPr>
        <w:footnoteReference w:id="4"/>
      </w:r>
      <w:r>
        <w:rPr>
          <w:color w:val="000000"/>
          <w:sz w:val="28"/>
          <w:szCs w:val="28"/>
        </w:rPr>
        <w:t xml:space="preserve">. </w:t>
      </w:r>
    </w:p>
    <w:p w:rsidR="004E0703" w:rsidRDefault="004E0703" w:rsidP="00C90A0F">
      <w:pPr>
        <w:pStyle w:val="a5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Современные подходы к защите прав юридических лиц все активнее используют институты саморегулирования и альтернативные способы разрешения споров, что способствует повышению уровня правовой культуры, снижению судебной нагрузки и обеспечению более гибкого реагирования на возникающие конфликты. В исторической перспективе развитие этих институтов отражает тенденцию к повышению роли негосударственных субъектов в регулировании экономических и правовых отношений, что укрепляет систему защиты прав субъектов хозяйственной деятельности. </w:t>
      </w:r>
    </w:p>
    <w:p w:rsidR="004E0703" w:rsidRDefault="004E0703" w:rsidP="00C90A0F">
      <w:pPr>
        <w:pStyle w:val="a5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Современные механизмы защиты прав юридических лиц, в том числе саморегулирование и альтернативное разрешение споров, представляют собой усовершенствованный инструментарий, позволяющий обеспечить эффективную защиты прав и интересов юридических лиц на основе принципов саморегулирования и альтернативного разрешения споров. </w:t>
      </w:r>
    </w:p>
    <w:p w:rsidR="004E0703" w:rsidRDefault="004E0703" w:rsidP="00C90A0F">
      <w:pPr>
        <w:pStyle w:val="a5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Практика применения этих механизмов характеризуются значительным ростов популярности в промышленных странах. Они демонстрируют свою эффективность в снижении нагрузки на судебную систему, что является существенным фактором в обеспечении эффективности и скорости разрешения споров. Однако в ходе этого процесса выделяются и потенциальные проблемы, связанные с отсутствием четких стандартом и правилах, что может привести к неравному доступу к этим механизмам для юридических лиц. </w:t>
      </w:r>
    </w:p>
    <w:p w:rsidR="004E0703" w:rsidRDefault="004E0703" w:rsidP="00C90A0F">
      <w:pPr>
        <w:pStyle w:val="a5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Критический анализ практики применения современных механизмов защиты прав юридических лиц выявляет важность соблюдения принципов прозрачности, недопущения конфликта интересов и обеспечения равных</w:t>
      </w:r>
      <w:r w:rsidR="00BA1C46">
        <w:rPr>
          <w:color w:val="000000"/>
          <w:sz w:val="28"/>
          <w:szCs w:val="28"/>
        </w:rPr>
        <w:t xml:space="preserve"> возможностей для всех участников. Это связано с тем, что эти механизмы должны быть справедливыми и эффективными в обеспечении защиты прав юридических лиц, а также способствовать развитию деловых отношений и укреплению доверия между партнерами. </w:t>
      </w:r>
    </w:p>
    <w:p w:rsidR="00BA1C46" w:rsidRDefault="00BA1C46" w:rsidP="00C90A0F">
      <w:pPr>
        <w:pStyle w:val="a5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Анализируя перспективы развития и совершенствования механизма защиты юридических лиц в России на фоне процессов </w:t>
      </w:r>
      <w:proofErr w:type="spellStart"/>
      <w:r>
        <w:rPr>
          <w:color w:val="000000"/>
          <w:sz w:val="28"/>
          <w:szCs w:val="28"/>
        </w:rPr>
        <w:t>цифровизации</w:t>
      </w:r>
      <w:proofErr w:type="spellEnd"/>
      <w:r>
        <w:rPr>
          <w:color w:val="000000"/>
          <w:sz w:val="28"/>
          <w:szCs w:val="28"/>
        </w:rPr>
        <w:t xml:space="preserve"> и глобализации, становится очевидным необходимость глобального подхода. Этот подход должен учитывать одновременно эти два фактора, влияющих на институты защиты юридических лиц. </w:t>
      </w:r>
    </w:p>
    <w:p w:rsidR="00BA1C46" w:rsidRDefault="00BA1C46" w:rsidP="00C90A0F">
      <w:pPr>
        <w:pStyle w:val="a5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Сфера </w:t>
      </w:r>
      <w:proofErr w:type="spellStart"/>
      <w:r>
        <w:rPr>
          <w:color w:val="000000"/>
          <w:sz w:val="28"/>
          <w:szCs w:val="28"/>
        </w:rPr>
        <w:t>цифровизации</w:t>
      </w:r>
      <w:proofErr w:type="spellEnd"/>
      <w:r>
        <w:rPr>
          <w:color w:val="000000"/>
          <w:sz w:val="28"/>
          <w:szCs w:val="28"/>
        </w:rPr>
        <w:t xml:space="preserve"> оказывает значительное влияние на механизм защиты юридических лиц. Внедрение информационных технологий позволяет повысить эффективность и прозрачность судебной системы. В этом контексте развитие электронных судебных площадей становится весомым направлением. Это позволяет упростить процесс рассмотрения споров и снизить нагрузку на судебную систему. </w:t>
      </w:r>
    </w:p>
    <w:p w:rsidR="00BA1C46" w:rsidRDefault="00BA1C46" w:rsidP="00C90A0F">
      <w:pPr>
        <w:pStyle w:val="a5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Например, электронные судебные </w:t>
      </w:r>
      <w:r w:rsidR="001C11CA">
        <w:rPr>
          <w:color w:val="000000"/>
          <w:sz w:val="28"/>
          <w:szCs w:val="28"/>
        </w:rPr>
        <w:t xml:space="preserve">площади могут обеспечить быстроту и эффективность, поскольку процесс рассмотрения дел может вестись в электронной форме, что уменьшает необходимость личного участия сторон в судебном разбирательстве. Это, в свою очередь, может увеличить привлекательность судебной системы для юридических лиц, снижая затраты на участие в юридических разбирательствах. </w:t>
      </w:r>
    </w:p>
    <w:p w:rsidR="001C11CA" w:rsidRDefault="001C11CA" w:rsidP="00C90A0F">
      <w:pPr>
        <w:pStyle w:val="a5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Кроме того, </w:t>
      </w:r>
      <w:proofErr w:type="spellStart"/>
      <w:r>
        <w:rPr>
          <w:color w:val="000000"/>
          <w:sz w:val="28"/>
          <w:szCs w:val="28"/>
        </w:rPr>
        <w:t>цифровизация</w:t>
      </w:r>
      <w:proofErr w:type="spellEnd"/>
      <w:r>
        <w:rPr>
          <w:color w:val="000000"/>
          <w:sz w:val="28"/>
          <w:szCs w:val="28"/>
        </w:rPr>
        <w:t xml:space="preserve"> может содействовать повышению доступности юридических услуг для юридических лиц, особенно для малых и средних предприятий. Это может быть достигнуто за счет развития онлайн-платформ, которые обеспечивают юридические консультации и услуги на основе чата, что может быть особенно полезно для юридических лиц, не имеющих доступа к традиционным способам получения юридических услуг. </w:t>
      </w:r>
    </w:p>
    <w:p w:rsidR="001C11CA" w:rsidRDefault="001C11CA" w:rsidP="00C90A0F">
      <w:pPr>
        <w:pStyle w:val="a5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 другой стороны, глобализация также оказывает существенное влияние на механизм защиты юридических лиц. В современном глобальном экономическом сообществе юридические лица могут осуществлять деятельность на международном уровне, что приводит к необходимости обеспечения их защиты на глобальном уровне. </w:t>
      </w:r>
    </w:p>
    <w:p w:rsidR="001C11CA" w:rsidRDefault="001C11CA" w:rsidP="00C90A0F">
      <w:pPr>
        <w:pStyle w:val="a5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этом контексте особое внимание уделяется вопросам международного сотрудничества в сфере защиты юридических лиц. Это предполагает развитие международных стандартов и конвенций, которые способствуют защиты прав юридических лиц в глобальной экономической среде. Кроме того, важное значение имеет сотрудничество между национальными правовыми системами для обеспечения соответствия и косвенного ассортимента правовых систем, что может способствовать содействию защите юридических лиц.</w:t>
      </w:r>
    </w:p>
    <w:p w:rsidR="001C11CA" w:rsidRDefault="001C11CA" w:rsidP="00C90A0F">
      <w:pPr>
        <w:pStyle w:val="a5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Например, развитие международных конвенций, таких как Конвенция ОЭСР о пакете мер по борьбе с отмыванием денег и финансированием </w:t>
      </w:r>
      <w:r>
        <w:rPr>
          <w:color w:val="000000"/>
          <w:sz w:val="28"/>
          <w:szCs w:val="28"/>
        </w:rPr>
        <w:lastRenderedPageBreak/>
        <w:t xml:space="preserve">терроризма, может способствовать созданию правовой базы для защиты юридических лиц от незаконного отмывания денег и финансирования терроризма. Это может быть особенно важно для малых и средних предприятий, которые могут быть особенно уязвимы для этих рисков. </w:t>
      </w:r>
    </w:p>
    <w:p w:rsidR="001C11CA" w:rsidRDefault="001C11CA" w:rsidP="00C90A0F">
      <w:pPr>
        <w:pStyle w:val="a5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 заключение, перспективы развития и </w:t>
      </w:r>
      <w:r w:rsidR="00173769">
        <w:rPr>
          <w:color w:val="000000"/>
          <w:sz w:val="28"/>
          <w:szCs w:val="28"/>
        </w:rPr>
        <w:t>совершенствования</w:t>
      </w:r>
      <w:r>
        <w:rPr>
          <w:color w:val="000000"/>
          <w:sz w:val="28"/>
          <w:szCs w:val="28"/>
        </w:rPr>
        <w:t xml:space="preserve"> механизма защиты юридических лиц в России на фоне процессов </w:t>
      </w:r>
      <w:proofErr w:type="spellStart"/>
      <w:r>
        <w:rPr>
          <w:color w:val="000000"/>
          <w:sz w:val="28"/>
          <w:szCs w:val="28"/>
        </w:rPr>
        <w:t>цифровизации</w:t>
      </w:r>
      <w:proofErr w:type="spellEnd"/>
      <w:r>
        <w:rPr>
          <w:color w:val="000000"/>
          <w:sz w:val="28"/>
          <w:szCs w:val="28"/>
        </w:rPr>
        <w:t xml:space="preserve"> и глобализации требуют глобального подхода, который учитывает одновременно эти два фактора. Внедрение информационных технологий и развитие</w:t>
      </w:r>
      <w:r w:rsidR="00173769">
        <w:rPr>
          <w:color w:val="000000"/>
          <w:sz w:val="28"/>
          <w:szCs w:val="28"/>
        </w:rPr>
        <w:t xml:space="preserve"> электронных судебных площадей могут способствовать повышению эффективности и прозрачности судебной системы, а также содействовать повышению доступности юридических услуг для юридических лиц. Кроме того, международное сотрудничество в сфере защиты юридических лиц является важным направлением для обеспечения соответствия и косвенного ассортимента правовых систем, что может способствовать содействию защите юридических лиц в глобальной экономической среде. </w:t>
      </w:r>
    </w:p>
    <w:p w:rsidR="000514F3" w:rsidRPr="000514F3" w:rsidRDefault="000514F3" w:rsidP="00C90A0F">
      <w:pPr>
        <w:pStyle w:val="a5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bookmarkStart w:id="0" w:name="_GoBack"/>
      <w:bookmarkEnd w:id="0"/>
    </w:p>
    <w:sectPr w:rsidR="000514F3" w:rsidRPr="000514F3" w:rsidSect="006E48A1">
      <w:foot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32890" w:rsidRDefault="00932890" w:rsidP="006E48A1">
      <w:r>
        <w:separator/>
      </w:r>
    </w:p>
  </w:endnote>
  <w:endnote w:type="continuationSeparator" w:id="0">
    <w:p w:rsidR="00932890" w:rsidRDefault="00932890" w:rsidP="006E48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E48A1" w:rsidRDefault="006E48A1">
    <w:pPr>
      <w:pStyle w:val="aa"/>
      <w:jc w:val="center"/>
    </w:pPr>
  </w:p>
  <w:p w:rsidR="006E48A1" w:rsidRDefault="006E48A1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32890" w:rsidRDefault="00932890" w:rsidP="006E48A1">
      <w:r>
        <w:separator/>
      </w:r>
    </w:p>
  </w:footnote>
  <w:footnote w:type="continuationSeparator" w:id="0">
    <w:p w:rsidR="00932890" w:rsidRDefault="00932890" w:rsidP="006E48A1">
      <w:r>
        <w:continuationSeparator/>
      </w:r>
    </w:p>
  </w:footnote>
  <w:footnote w:id="1">
    <w:p w:rsidR="000514F3" w:rsidRPr="000514F3" w:rsidRDefault="000514F3" w:rsidP="000514F3">
      <w:pPr>
        <w:pStyle w:val="a5"/>
        <w:spacing w:before="0" w:beforeAutospacing="0" w:after="0" w:afterAutospacing="0"/>
        <w:jc w:val="both"/>
        <w:rPr>
          <w:color w:val="000000"/>
        </w:rPr>
      </w:pPr>
      <w:r w:rsidRPr="000514F3">
        <w:rPr>
          <w:rStyle w:val="af"/>
        </w:rPr>
        <w:footnoteRef/>
      </w:r>
      <w:r w:rsidRPr="000514F3">
        <w:t xml:space="preserve"> </w:t>
      </w:r>
      <w:r w:rsidRPr="000514F3">
        <w:rPr>
          <w:color w:val="000000"/>
        </w:rPr>
        <w:t>Гражданский кодекс Российской Федерации (часть первая) от 30.11.1994 № 51-ФЗ (ред. от 31.07.2025) (с изм. и доп., вступ. в силу с 01.08.2025) // Собрание законодательства РФ. - 05.12.1994. - № 32. - Ст. 3301.</w:t>
      </w:r>
    </w:p>
  </w:footnote>
  <w:footnote w:id="2">
    <w:p w:rsidR="000514F3" w:rsidRPr="000514F3" w:rsidRDefault="000514F3" w:rsidP="000514F3">
      <w:pPr>
        <w:pStyle w:val="a5"/>
        <w:spacing w:before="0" w:beforeAutospacing="0" w:after="0" w:afterAutospacing="0" w:line="288" w:lineRule="atLeast"/>
        <w:jc w:val="both"/>
        <w:rPr>
          <w:color w:val="000000"/>
        </w:rPr>
      </w:pPr>
      <w:r>
        <w:rPr>
          <w:rStyle w:val="af"/>
        </w:rPr>
        <w:footnoteRef/>
      </w:r>
      <w:r>
        <w:t xml:space="preserve"> </w:t>
      </w:r>
      <w:r w:rsidRPr="000514F3">
        <w:rPr>
          <w:color w:val="000000"/>
        </w:rPr>
        <w:t xml:space="preserve">Федеральный закон от 08.02.1998 </w:t>
      </w:r>
      <w:r>
        <w:rPr>
          <w:color w:val="000000"/>
        </w:rPr>
        <w:t>№</w:t>
      </w:r>
      <w:r w:rsidRPr="000514F3">
        <w:rPr>
          <w:color w:val="000000"/>
        </w:rPr>
        <w:t xml:space="preserve"> 14-ФЗ</w:t>
      </w:r>
      <w:r>
        <w:rPr>
          <w:color w:val="000000"/>
        </w:rPr>
        <w:t xml:space="preserve"> </w:t>
      </w:r>
      <w:r w:rsidRPr="000514F3">
        <w:rPr>
          <w:color w:val="000000"/>
        </w:rPr>
        <w:t>(ред. от 31.07.2025)</w:t>
      </w:r>
      <w:r>
        <w:rPr>
          <w:color w:val="000000"/>
        </w:rPr>
        <w:t xml:space="preserve"> «</w:t>
      </w:r>
      <w:r w:rsidRPr="000514F3">
        <w:rPr>
          <w:color w:val="000000"/>
        </w:rPr>
        <w:t>Об обществах с ограниченной ответственностью</w:t>
      </w:r>
      <w:r>
        <w:rPr>
          <w:color w:val="000000"/>
        </w:rPr>
        <w:t xml:space="preserve">» </w:t>
      </w:r>
      <w:r w:rsidRPr="000514F3">
        <w:rPr>
          <w:color w:val="000000"/>
        </w:rPr>
        <w:t>(с изм. и доп., вступ. в силу с 01.09.2025)</w:t>
      </w:r>
      <w:r>
        <w:rPr>
          <w:color w:val="000000"/>
        </w:rPr>
        <w:t xml:space="preserve"> // </w:t>
      </w:r>
      <w:r w:rsidRPr="000514F3">
        <w:rPr>
          <w:color w:val="000000"/>
        </w:rPr>
        <w:t>Собрание законодательства РФ</w:t>
      </w:r>
      <w:r>
        <w:rPr>
          <w:color w:val="000000"/>
        </w:rPr>
        <w:t>. -</w:t>
      </w:r>
      <w:r w:rsidRPr="000514F3">
        <w:rPr>
          <w:color w:val="000000"/>
        </w:rPr>
        <w:t xml:space="preserve"> 16.02.1998</w:t>
      </w:r>
      <w:r>
        <w:rPr>
          <w:color w:val="000000"/>
        </w:rPr>
        <w:t>. -</w:t>
      </w:r>
      <w:r w:rsidRPr="000514F3">
        <w:rPr>
          <w:color w:val="000000"/>
        </w:rPr>
        <w:t xml:space="preserve"> </w:t>
      </w:r>
      <w:r>
        <w:rPr>
          <w:color w:val="000000"/>
        </w:rPr>
        <w:t>№</w:t>
      </w:r>
      <w:r w:rsidRPr="000514F3">
        <w:rPr>
          <w:color w:val="000000"/>
        </w:rPr>
        <w:t xml:space="preserve"> 7</w:t>
      </w:r>
      <w:r>
        <w:rPr>
          <w:color w:val="000000"/>
        </w:rPr>
        <w:t xml:space="preserve"> -</w:t>
      </w:r>
      <w:r w:rsidRPr="000514F3">
        <w:rPr>
          <w:color w:val="000000"/>
        </w:rPr>
        <w:t xml:space="preserve"> </w:t>
      </w:r>
      <w:r>
        <w:rPr>
          <w:color w:val="000000"/>
        </w:rPr>
        <w:t>С</w:t>
      </w:r>
      <w:r w:rsidRPr="000514F3">
        <w:rPr>
          <w:color w:val="000000"/>
        </w:rPr>
        <w:t>т. 785</w:t>
      </w:r>
      <w:r>
        <w:rPr>
          <w:color w:val="000000"/>
        </w:rPr>
        <w:t>.</w:t>
      </w:r>
    </w:p>
  </w:footnote>
  <w:footnote w:id="3">
    <w:p w:rsidR="000514F3" w:rsidRPr="000514F3" w:rsidRDefault="000514F3" w:rsidP="000514F3">
      <w:pPr>
        <w:pStyle w:val="a5"/>
        <w:spacing w:before="0" w:beforeAutospacing="0" w:after="0" w:afterAutospacing="0" w:line="288" w:lineRule="atLeast"/>
        <w:jc w:val="both"/>
        <w:rPr>
          <w:color w:val="000000"/>
        </w:rPr>
      </w:pPr>
      <w:r>
        <w:rPr>
          <w:rStyle w:val="af"/>
        </w:rPr>
        <w:footnoteRef/>
      </w:r>
      <w:r>
        <w:t xml:space="preserve"> </w:t>
      </w:r>
      <w:r w:rsidRPr="000514F3">
        <w:rPr>
          <w:color w:val="000000"/>
        </w:rPr>
        <w:t xml:space="preserve">Федеральный закон от 26.12.1995 </w:t>
      </w:r>
      <w:r>
        <w:rPr>
          <w:color w:val="000000"/>
        </w:rPr>
        <w:t>№</w:t>
      </w:r>
      <w:r w:rsidRPr="000514F3">
        <w:rPr>
          <w:color w:val="000000"/>
        </w:rPr>
        <w:t xml:space="preserve"> 208-ФЗ</w:t>
      </w:r>
      <w:r>
        <w:rPr>
          <w:color w:val="000000"/>
        </w:rPr>
        <w:t xml:space="preserve"> </w:t>
      </w:r>
      <w:r w:rsidRPr="000514F3">
        <w:rPr>
          <w:color w:val="000000"/>
        </w:rPr>
        <w:t>(ред. от 31.07.2025, с изм. от 25.09.2025)</w:t>
      </w:r>
      <w:r>
        <w:rPr>
          <w:color w:val="000000"/>
        </w:rPr>
        <w:t xml:space="preserve"> «</w:t>
      </w:r>
      <w:r w:rsidRPr="000514F3">
        <w:rPr>
          <w:color w:val="000000"/>
        </w:rPr>
        <w:t>Об акционерных обществах</w:t>
      </w:r>
      <w:r>
        <w:rPr>
          <w:color w:val="000000"/>
        </w:rPr>
        <w:t xml:space="preserve">» </w:t>
      </w:r>
      <w:r w:rsidRPr="000514F3">
        <w:rPr>
          <w:color w:val="000000"/>
        </w:rPr>
        <w:t>(с изм. и доп., вступ. в силу с 01.09.2025)</w:t>
      </w:r>
      <w:r>
        <w:rPr>
          <w:color w:val="000000"/>
        </w:rPr>
        <w:t xml:space="preserve"> // </w:t>
      </w:r>
      <w:r w:rsidRPr="000514F3">
        <w:rPr>
          <w:color w:val="000000"/>
        </w:rPr>
        <w:t>Собрание законодательства РФ</w:t>
      </w:r>
      <w:r>
        <w:rPr>
          <w:color w:val="000000"/>
        </w:rPr>
        <w:t xml:space="preserve">. - </w:t>
      </w:r>
      <w:r w:rsidRPr="000514F3">
        <w:rPr>
          <w:color w:val="000000"/>
        </w:rPr>
        <w:t>01.01.1996</w:t>
      </w:r>
      <w:r>
        <w:rPr>
          <w:color w:val="000000"/>
        </w:rPr>
        <w:t>. -</w:t>
      </w:r>
      <w:r w:rsidRPr="000514F3">
        <w:rPr>
          <w:color w:val="000000"/>
        </w:rPr>
        <w:t xml:space="preserve"> </w:t>
      </w:r>
      <w:r>
        <w:rPr>
          <w:color w:val="000000"/>
        </w:rPr>
        <w:t>№</w:t>
      </w:r>
      <w:r w:rsidRPr="000514F3">
        <w:rPr>
          <w:color w:val="000000"/>
        </w:rPr>
        <w:t xml:space="preserve"> 1</w:t>
      </w:r>
      <w:r>
        <w:rPr>
          <w:color w:val="000000"/>
        </w:rPr>
        <w:t>. -</w:t>
      </w:r>
      <w:r w:rsidRPr="000514F3">
        <w:rPr>
          <w:color w:val="000000"/>
        </w:rPr>
        <w:t xml:space="preserve"> </w:t>
      </w:r>
      <w:r>
        <w:rPr>
          <w:color w:val="000000"/>
        </w:rPr>
        <w:t>С</w:t>
      </w:r>
      <w:r w:rsidRPr="000514F3">
        <w:rPr>
          <w:color w:val="000000"/>
        </w:rPr>
        <w:t>т. 1.</w:t>
      </w:r>
    </w:p>
  </w:footnote>
  <w:footnote w:id="4">
    <w:p w:rsidR="000514F3" w:rsidRPr="000514F3" w:rsidRDefault="000514F3" w:rsidP="000514F3">
      <w:pPr>
        <w:pStyle w:val="a5"/>
        <w:spacing w:before="0" w:beforeAutospacing="0" w:after="0" w:afterAutospacing="0" w:line="288" w:lineRule="atLeast"/>
        <w:jc w:val="both"/>
        <w:rPr>
          <w:color w:val="000000"/>
        </w:rPr>
      </w:pPr>
      <w:r>
        <w:rPr>
          <w:rStyle w:val="af"/>
        </w:rPr>
        <w:footnoteRef/>
      </w:r>
      <w:r>
        <w:t xml:space="preserve"> </w:t>
      </w:r>
      <w:r w:rsidRPr="000514F3">
        <w:rPr>
          <w:color w:val="000000"/>
        </w:rPr>
        <w:t xml:space="preserve">Федеральный закон от 01.12.2007 </w:t>
      </w:r>
      <w:r>
        <w:rPr>
          <w:color w:val="000000"/>
        </w:rPr>
        <w:t xml:space="preserve">№ </w:t>
      </w:r>
      <w:r w:rsidRPr="000514F3">
        <w:rPr>
          <w:color w:val="000000"/>
        </w:rPr>
        <w:t>315-ФЗ</w:t>
      </w:r>
      <w:r>
        <w:rPr>
          <w:color w:val="000000"/>
        </w:rPr>
        <w:t xml:space="preserve"> </w:t>
      </w:r>
      <w:r w:rsidRPr="000514F3">
        <w:rPr>
          <w:color w:val="000000"/>
        </w:rPr>
        <w:t>(ред. от 02.07.2021)</w:t>
      </w:r>
      <w:r>
        <w:rPr>
          <w:color w:val="000000"/>
        </w:rPr>
        <w:t xml:space="preserve"> «</w:t>
      </w:r>
      <w:r w:rsidRPr="000514F3">
        <w:rPr>
          <w:color w:val="000000"/>
        </w:rPr>
        <w:t>О саморегулируемых организациях</w:t>
      </w:r>
      <w:r>
        <w:rPr>
          <w:color w:val="000000"/>
        </w:rPr>
        <w:t xml:space="preserve">» // </w:t>
      </w:r>
      <w:r w:rsidRPr="000514F3">
        <w:rPr>
          <w:color w:val="000000"/>
        </w:rPr>
        <w:t>Собрание законодательства РФ</w:t>
      </w:r>
      <w:r>
        <w:rPr>
          <w:color w:val="000000"/>
        </w:rPr>
        <w:t>. -</w:t>
      </w:r>
      <w:r w:rsidRPr="000514F3">
        <w:rPr>
          <w:color w:val="000000"/>
        </w:rPr>
        <w:t xml:space="preserve"> 03.12.2007</w:t>
      </w:r>
      <w:r>
        <w:rPr>
          <w:color w:val="000000"/>
        </w:rPr>
        <w:t>. -</w:t>
      </w:r>
      <w:r w:rsidRPr="000514F3">
        <w:rPr>
          <w:color w:val="000000"/>
        </w:rPr>
        <w:t xml:space="preserve"> </w:t>
      </w:r>
      <w:r>
        <w:rPr>
          <w:color w:val="000000"/>
        </w:rPr>
        <w:t>№</w:t>
      </w:r>
      <w:r w:rsidRPr="000514F3">
        <w:rPr>
          <w:color w:val="000000"/>
        </w:rPr>
        <w:t xml:space="preserve"> 49</w:t>
      </w:r>
      <w:r>
        <w:rPr>
          <w:color w:val="000000"/>
        </w:rPr>
        <w:t>. -</w:t>
      </w:r>
      <w:r w:rsidRPr="000514F3">
        <w:rPr>
          <w:color w:val="000000"/>
        </w:rPr>
        <w:t xml:space="preserve"> </w:t>
      </w:r>
      <w:r>
        <w:rPr>
          <w:color w:val="000000"/>
        </w:rPr>
        <w:t>С</w:t>
      </w:r>
      <w:r w:rsidRPr="000514F3">
        <w:rPr>
          <w:color w:val="000000"/>
        </w:rPr>
        <w:t>т. 6076</w:t>
      </w:r>
      <w:r>
        <w:rPr>
          <w:color w:val="000000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57B5C"/>
    <w:multiLevelType w:val="hybridMultilevel"/>
    <w:tmpl w:val="8E7CBD8E"/>
    <w:lvl w:ilvl="0" w:tplc="02D4D6A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B06DB9"/>
    <w:multiLevelType w:val="multilevel"/>
    <w:tmpl w:val="4D8A30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2676910"/>
    <w:multiLevelType w:val="multilevel"/>
    <w:tmpl w:val="9A7C37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6A35C04"/>
    <w:multiLevelType w:val="multilevel"/>
    <w:tmpl w:val="9154B60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85C6217"/>
    <w:multiLevelType w:val="multilevel"/>
    <w:tmpl w:val="AE928A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8B95F12"/>
    <w:multiLevelType w:val="hybridMultilevel"/>
    <w:tmpl w:val="221CE9F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09CA3344"/>
    <w:multiLevelType w:val="hybridMultilevel"/>
    <w:tmpl w:val="AAC4C8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BB546A2"/>
    <w:multiLevelType w:val="hybridMultilevel"/>
    <w:tmpl w:val="F3EC3520"/>
    <w:lvl w:ilvl="0" w:tplc="6E0ACD5C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111A55F0"/>
    <w:multiLevelType w:val="multilevel"/>
    <w:tmpl w:val="55CCD9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1EB1F19"/>
    <w:multiLevelType w:val="multilevel"/>
    <w:tmpl w:val="7554A8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3C9329B"/>
    <w:multiLevelType w:val="multilevel"/>
    <w:tmpl w:val="2CF888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B8A3DA2"/>
    <w:multiLevelType w:val="multilevel"/>
    <w:tmpl w:val="4D4AA5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1B8D3137"/>
    <w:multiLevelType w:val="hybridMultilevel"/>
    <w:tmpl w:val="AE0C7710"/>
    <w:lvl w:ilvl="0" w:tplc="6E0ACD5C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1C5A6883"/>
    <w:multiLevelType w:val="hybridMultilevel"/>
    <w:tmpl w:val="86E6CC5A"/>
    <w:lvl w:ilvl="0" w:tplc="6E0ACD5C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1CA21F56"/>
    <w:multiLevelType w:val="multilevel"/>
    <w:tmpl w:val="DD6051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1E0B4425"/>
    <w:multiLevelType w:val="multilevel"/>
    <w:tmpl w:val="502276F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16" w15:restartNumberingAfterBreak="0">
    <w:nsid w:val="236B0770"/>
    <w:multiLevelType w:val="multilevel"/>
    <w:tmpl w:val="E272B1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240C1F41"/>
    <w:multiLevelType w:val="hybridMultilevel"/>
    <w:tmpl w:val="F18AF0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5F73B13"/>
    <w:multiLevelType w:val="multilevel"/>
    <w:tmpl w:val="338A83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2D9A3195"/>
    <w:multiLevelType w:val="multilevel"/>
    <w:tmpl w:val="ACAA64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21637B2"/>
    <w:multiLevelType w:val="multilevel"/>
    <w:tmpl w:val="BA7EFB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32163CD4"/>
    <w:multiLevelType w:val="multilevel"/>
    <w:tmpl w:val="9E56B7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33684825"/>
    <w:multiLevelType w:val="multilevel"/>
    <w:tmpl w:val="12D494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348C1258"/>
    <w:multiLevelType w:val="multilevel"/>
    <w:tmpl w:val="CDAE1F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356C1F56"/>
    <w:multiLevelType w:val="hybridMultilevel"/>
    <w:tmpl w:val="8E7CBD8E"/>
    <w:lvl w:ilvl="0" w:tplc="02D4D6A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60229F2"/>
    <w:multiLevelType w:val="multilevel"/>
    <w:tmpl w:val="E7FE8E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38D21DFB"/>
    <w:multiLevelType w:val="multilevel"/>
    <w:tmpl w:val="B60445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3E31319A"/>
    <w:multiLevelType w:val="hybridMultilevel"/>
    <w:tmpl w:val="439E9108"/>
    <w:lvl w:ilvl="0" w:tplc="4DE825BE">
      <w:start w:val="1"/>
      <w:numFmt w:val="decimal"/>
      <w:lvlText w:val="%1."/>
      <w:lvlJc w:val="left"/>
      <w:pPr>
        <w:ind w:left="855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8B76AA3"/>
    <w:multiLevelType w:val="hybridMultilevel"/>
    <w:tmpl w:val="5FC6A8EC"/>
    <w:lvl w:ilvl="0" w:tplc="6E0ACD5C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 w15:restartNumberingAfterBreak="0">
    <w:nsid w:val="48F527E4"/>
    <w:multiLevelType w:val="multilevel"/>
    <w:tmpl w:val="0D1AEC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55794CE7"/>
    <w:multiLevelType w:val="multilevel"/>
    <w:tmpl w:val="055865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56C3426E"/>
    <w:multiLevelType w:val="multilevel"/>
    <w:tmpl w:val="85D0DA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597B1C48"/>
    <w:multiLevelType w:val="multilevel"/>
    <w:tmpl w:val="640478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604914F3"/>
    <w:multiLevelType w:val="multilevel"/>
    <w:tmpl w:val="9F7A83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625E00C6"/>
    <w:multiLevelType w:val="hybridMultilevel"/>
    <w:tmpl w:val="2D64A284"/>
    <w:lvl w:ilvl="0" w:tplc="41AE102A">
      <w:start w:val="1"/>
      <w:numFmt w:val="decimal"/>
      <w:lvlText w:val="%1."/>
      <w:lvlJc w:val="left"/>
      <w:pPr>
        <w:ind w:left="855" w:hanging="49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4D344D9"/>
    <w:multiLevelType w:val="multilevel"/>
    <w:tmpl w:val="05BC59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695F3A4D"/>
    <w:multiLevelType w:val="multilevel"/>
    <w:tmpl w:val="D0C498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6DB46236"/>
    <w:multiLevelType w:val="multilevel"/>
    <w:tmpl w:val="1BE812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6E1445B4"/>
    <w:multiLevelType w:val="multilevel"/>
    <w:tmpl w:val="BA0E1F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6F6674F0"/>
    <w:multiLevelType w:val="multilevel"/>
    <w:tmpl w:val="F7C28F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6FF3025C"/>
    <w:multiLevelType w:val="multilevel"/>
    <w:tmpl w:val="42FAF5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702746DF"/>
    <w:multiLevelType w:val="multilevel"/>
    <w:tmpl w:val="1CAE80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7B6F1D2D"/>
    <w:multiLevelType w:val="multilevel"/>
    <w:tmpl w:val="FCFCF7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7EC764B1"/>
    <w:multiLevelType w:val="hybridMultilevel"/>
    <w:tmpl w:val="4DB239E4"/>
    <w:lvl w:ilvl="0" w:tplc="6E0ACD5C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5"/>
  </w:num>
  <w:num w:numId="3">
    <w:abstractNumId w:val="43"/>
  </w:num>
  <w:num w:numId="4">
    <w:abstractNumId w:val="12"/>
  </w:num>
  <w:num w:numId="5">
    <w:abstractNumId w:val="13"/>
  </w:num>
  <w:num w:numId="6">
    <w:abstractNumId w:val="7"/>
  </w:num>
  <w:num w:numId="7">
    <w:abstractNumId w:val="28"/>
  </w:num>
  <w:num w:numId="8">
    <w:abstractNumId w:val="11"/>
  </w:num>
  <w:num w:numId="9">
    <w:abstractNumId w:val="34"/>
  </w:num>
  <w:num w:numId="10">
    <w:abstractNumId w:val="15"/>
  </w:num>
  <w:num w:numId="11">
    <w:abstractNumId w:val="36"/>
  </w:num>
  <w:num w:numId="12">
    <w:abstractNumId w:val="6"/>
  </w:num>
  <w:num w:numId="13">
    <w:abstractNumId w:val="2"/>
  </w:num>
  <w:num w:numId="14">
    <w:abstractNumId w:val="16"/>
  </w:num>
  <w:num w:numId="15">
    <w:abstractNumId w:val="39"/>
  </w:num>
  <w:num w:numId="16">
    <w:abstractNumId w:val="26"/>
  </w:num>
  <w:num w:numId="17">
    <w:abstractNumId w:val="9"/>
  </w:num>
  <w:num w:numId="18">
    <w:abstractNumId w:val="22"/>
  </w:num>
  <w:num w:numId="19">
    <w:abstractNumId w:val="23"/>
  </w:num>
  <w:num w:numId="20">
    <w:abstractNumId w:val="42"/>
  </w:num>
  <w:num w:numId="21">
    <w:abstractNumId w:val="18"/>
  </w:num>
  <w:num w:numId="22">
    <w:abstractNumId w:val="35"/>
  </w:num>
  <w:num w:numId="23">
    <w:abstractNumId w:val="4"/>
  </w:num>
  <w:num w:numId="24">
    <w:abstractNumId w:val="32"/>
  </w:num>
  <w:num w:numId="25">
    <w:abstractNumId w:val="33"/>
  </w:num>
  <w:num w:numId="26">
    <w:abstractNumId w:val="17"/>
  </w:num>
  <w:num w:numId="27">
    <w:abstractNumId w:val="19"/>
  </w:num>
  <w:num w:numId="28">
    <w:abstractNumId w:val="14"/>
  </w:num>
  <w:num w:numId="29">
    <w:abstractNumId w:val="41"/>
  </w:num>
  <w:num w:numId="30">
    <w:abstractNumId w:val="31"/>
  </w:num>
  <w:num w:numId="31">
    <w:abstractNumId w:val="29"/>
  </w:num>
  <w:num w:numId="32">
    <w:abstractNumId w:val="3"/>
  </w:num>
  <w:num w:numId="33">
    <w:abstractNumId w:val="25"/>
  </w:num>
  <w:num w:numId="34">
    <w:abstractNumId w:val="38"/>
  </w:num>
  <w:num w:numId="35">
    <w:abstractNumId w:val="0"/>
  </w:num>
  <w:num w:numId="36">
    <w:abstractNumId w:val="24"/>
  </w:num>
  <w:num w:numId="37">
    <w:abstractNumId w:val="1"/>
  </w:num>
  <w:num w:numId="38">
    <w:abstractNumId w:val="10"/>
  </w:num>
  <w:num w:numId="39">
    <w:abstractNumId w:val="21"/>
  </w:num>
  <w:num w:numId="40">
    <w:abstractNumId w:val="30"/>
  </w:num>
  <w:num w:numId="41">
    <w:abstractNumId w:val="8"/>
  </w:num>
  <w:num w:numId="42">
    <w:abstractNumId w:val="37"/>
  </w:num>
  <w:num w:numId="43">
    <w:abstractNumId w:val="20"/>
  </w:num>
  <w:num w:numId="44">
    <w:abstractNumId w:val="4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7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40CE0"/>
    <w:rsid w:val="00012F03"/>
    <w:rsid w:val="00046B63"/>
    <w:rsid w:val="000514F3"/>
    <w:rsid w:val="00072A89"/>
    <w:rsid w:val="00130DD4"/>
    <w:rsid w:val="00133940"/>
    <w:rsid w:val="00140CC3"/>
    <w:rsid w:val="00173769"/>
    <w:rsid w:val="001C11CA"/>
    <w:rsid w:val="001C4C45"/>
    <w:rsid w:val="001C7E5C"/>
    <w:rsid w:val="002242FF"/>
    <w:rsid w:val="00256111"/>
    <w:rsid w:val="002753E8"/>
    <w:rsid w:val="002B0BE7"/>
    <w:rsid w:val="003A7B83"/>
    <w:rsid w:val="003F1DBF"/>
    <w:rsid w:val="004E0703"/>
    <w:rsid w:val="004E3C96"/>
    <w:rsid w:val="0055225A"/>
    <w:rsid w:val="005C2D35"/>
    <w:rsid w:val="005C7B59"/>
    <w:rsid w:val="005E5E5F"/>
    <w:rsid w:val="00604F07"/>
    <w:rsid w:val="006D75F7"/>
    <w:rsid w:val="006E4304"/>
    <w:rsid w:val="006E48A1"/>
    <w:rsid w:val="00732B0F"/>
    <w:rsid w:val="0078273B"/>
    <w:rsid w:val="007A4807"/>
    <w:rsid w:val="007D6262"/>
    <w:rsid w:val="007E72F2"/>
    <w:rsid w:val="00840CE0"/>
    <w:rsid w:val="00854F36"/>
    <w:rsid w:val="00871433"/>
    <w:rsid w:val="008B557D"/>
    <w:rsid w:val="00932890"/>
    <w:rsid w:val="00962D04"/>
    <w:rsid w:val="009B0F25"/>
    <w:rsid w:val="00A262BA"/>
    <w:rsid w:val="00A65843"/>
    <w:rsid w:val="00AA7918"/>
    <w:rsid w:val="00B50E69"/>
    <w:rsid w:val="00BA1C46"/>
    <w:rsid w:val="00C44520"/>
    <w:rsid w:val="00C90A0F"/>
    <w:rsid w:val="00CA1325"/>
    <w:rsid w:val="00CB3871"/>
    <w:rsid w:val="00D71E39"/>
    <w:rsid w:val="00D91489"/>
    <w:rsid w:val="00DD63E3"/>
    <w:rsid w:val="00DE6CDC"/>
    <w:rsid w:val="00E03C71"/>
    <w:rsid w:val="00E344BC"/>
    <w:rsid w:val="00E469E3"/>
    <w:rsid w:val="00EC4456"/>
    <w:rsid w:val="00EE34E8"/>
    <w:rsid w:val="00EF1319"/>
    <w:rsid w:val="00EF44C5"/>
    <w:rsid w:val="00F91447"/>
    <w:rsid w:val="00FA5E0E"/>
    <w:rsid w:val="00FF72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66B1865"/>
  <w15:chartTrackingRefBased/>
  <w15:docId w15:val="{3E12D87E-2A0E-4A99-9AA1-E2546D53F0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0514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D71E3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rsid w:val="00EE34E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E72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E72F2"/>
    <w:pPr>
      <w:ind w:left="720"/>
      <w:contextualSpacing/>
    </w:pPr>
  </w:style>
  <w:style w:type="paragraph" w:styleId="a5">
    <w:name w:val="Normal (Web)"/>
    <w:basedOn w:val="a"/>
    <w:link w:val="a6"/>
    <w:uiPriority w:val="99"/>
    <w:unhideWhenUsed/>
    <w:rsid w:val="007E72F2"/>
    <w:pPr>
      <w:spacing w:before="100" w:beforeAutospacing="1" w:after="100" w:afterAutospacing="1"/>
    </w:pPr>
  </w:style>
  <w:style w:type="paragraph" w:customStyle="1" w:styleId="no-indent">
    <w:name w:val="no-indent"/>
    <w:basedOn w:val="a"/>
    <w:rsid w:val="007E72F2"/>
    <w:pPr>
      <w:spacing w:before="100" w:beforeAutospacing="1" w:after="100" w:afterAutospacing="1"/>
    </w:pPr>
  </w:style>
  <w:style w:type="character" w:styleId="a7">
    <w:name w:val="Hyperlink"/>
    <w:basedOn w:val="a0"/>
    <w:uiPriority w:val="99"/>
    <w:semiHidden/>
    <w:unhideWhenUsed/>
    <w:rsid w:val="007E72F2"/>
    <w:rPr>
      <w:color w:val="0000FF"/>
      <w:u w:val="single"/>
    </w:rPr>
  </w:style>
  <w:style w:type="paragraph" w:styleId="a8">
    <w:name w:val="header"/>
    <w:basedOn w:val="a"/>
    <w:link w:val="a9"/>
    <w:uiPriority w:val="99"/>
    <w:unhideWhenUsed/>
    <w:rsid w:val="006E48A1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6E48A1"/>
  </w:style>
  <w:style w:type="paragraph" w:styleId="aa">
    <w:name w:val="footer"/>
    <w:basedOn w:val="a"/>
    <w:link w:val="ab"/>
    <w:uiPriority w:val="99"/>
    <w:unhideWhenUsed/>
    <w:rsid w:val="006E48A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6E48A1"/>
  </w:style>
  <w:style w:type="character" w:customStyle="1" w:styleId="apple-converted-space">
    <w:name w:val="apple-converted-space"/>
    <w:basedOn w:val="a0"/>
    <w:rsid w:val="00A65843"/>
  </w:style>
  <w:style w:type="character" w:styleId="ac">
    <w:name w:val="Strong"/>
    <w:basedOn w:val="a0"/>
    <w:uiPriority w:val="22"/>
    <w:qFormat/>
    <w:rsid w:val="00A65843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D71E3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EE34E8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paragraph" w:customStyle="1" w:styleId="futurismarkdown-listitem">
    <w:name w:val="futurismarkdown-listitem"/>
    <w:basedOn w:val="a"/>
    <w:rsid w:val="00EE34E8"/>
    <w:pPr>
      <w:spacing w:before="100" w:beforeAutospacing="1" w:after="100" w:afterAutospacing="1"/>
    </w:pPr>
  </w:style>
  <w:style w:type="character" w:customStyle="1" w:styleId="a6">
    <w:name w:val="Обычный (Интернет) Знак"/>
    <w:basedOn w:val="a0"/>
    <w:link w:val="a5"/>
    <w:uiPriority w:val="99"/>
    <w:rsid w:val="007D626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note text"/>
    <w:basedOn w:val="a"/>
    <w:link w:val="ae"/>
    <w:uiPriority w:val="99"/>
    <w:semiHidden/>
    <w:unhideWhenUsed/>
    <w:rsid w:val="007D6262"/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7D626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footnote reference"/>
    <w:basedOn w:val="a0"/>
    <w:uiPriority w:val="99"/>
    <w:semiHidden/>
    <w:unhideWhenUsed/>
    <w:rsid w:val="007D626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6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2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67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108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791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5957383">
              <w:marLeft w:val="0"/>
              <w:marRight w:val="0"/>
              <w:marTop w:val="0"/>
              <w:marBottom w:val="0"/>
              <w:divBdr>
                <w:top w:val="single" w:sz="6" w:space="0" w:color="9F9FDA"/>
                <w:left w:val="single" w:sz="6" w:space="0" w:color="9F9FDA"/>
                <w:bottom w:val="single" w:sz="6" w:space="0" w:color="9F9FDA"/>
                <w:right w:val="single" w:sz="6" w:space="0" w:color="9F9FDA"/>
              </w:divBdr>
              <w:divsChild>
                <w:div w:id="1583180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21192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36309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797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25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71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427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502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293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981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422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314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7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41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26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91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7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53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188786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756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12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7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44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6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20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18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74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91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11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30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7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53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2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86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6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9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54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0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9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2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76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5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14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3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02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1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87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50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84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0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07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142070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796435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7972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5160721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4968776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260669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0273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9386833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0360889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292674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6591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3423546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860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73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0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94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1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88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2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3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8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03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66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4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97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AD234DCF-BE79-C048-8C46-1DA0ED8228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276</TotalTime>
  <Pages>6</Pages>
  <Words>2108</Words>
  <Characters>12021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Матюшенко Виктория Олеговна</dc:creator>
  <cp:keywords/>
  <dc:description/>
  <cp:lastModifiedBy>Microsoft Office User</cp:lastModifiedBy>
  <cp:revision>26</cp:revision>
  <dcterms:created xsi:type="dcterms:W3CDTF">2023-03-04T08:49:00Z</dcterms:created>
  <dcterms:modified xsi:type="dcterms:W3CDTF">2025-10-23T16:37:00Z</dcterms:modified>
</cp:coreProperties>
</file>