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1E" w:rsidRPr="00147B1E" w:rsidRDefault="00147B1E" w:rsidP="00F34323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147B1E">
        <w:rPr>
          <w:rFonts w:ascii="Times New Roman" w:eastAsia="Calibri" w:hAnsi="Times New Roman" w:cs="Times New Roman"/>
          <w:lang w:eastAsia="ru-RU"/>
        </w:rPr>
        <w:t>ДЕПАРТАМЕНТ ОБРАЗОВАНИЯ И НАУКИ ГОРОДА МОСКВЫ</w:t>
      </w:r>
    </w:p>
    <w:p w:rsidR="00147B1E" w:rsidRPr="00147B1E" w:rsidRDefault="00147B1E" w:rsidP="00147B1E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7B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ГОСУДАРСТВЕННОЕ БЮДЖЕТНОЕ ОБЩЕОБРАЗОВАТЕЛЬНОЕ</w:t>
      </w:r>
    </w:p>
    <w:p w:rsidR="00147B1E" w:rsidRPr="00147B1E" w:rsidRDefault="00147B1E" w:rsidP="00147B1E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7B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УЧРЕЖДЕНИЕ ГОРОДА МОСКВЫ</w:t>
      </w:r>
    </w:p>
    <w:p w:rsidR="00147B1E" w:rsidRPr="00147B1E" w:rsidRDefault="00147B1E" w:rsidP="00147B1E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7B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«ШКОЛА № 1416 «ЛИАНОЗОВО»</w:t>
      </w:r>
    </w:p>
    <w:p w:rsidR="00147B1E" w:rsidRPr="00147B1E" w:rsidRDefault="00147B1E" w:rsidP="00147B1E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>Новгородская улица, дом 8, Москва, 127576</w:t>
      </w:r>
    </w:p>
    <w:p w:rsidR="00147B1E" w:rsidRPr="00147B1E" w:rsidRDefault="00147B1E" w:rsidP="00147B1E">
      <w:pPr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Телефон: (499) 200-95-66; </w:t>
      </w:r>
      <w:r w:rsidRPr="00147B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147B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>:1416@</w:t>
      </w:r>
      <w:proofErr w:type="spellStart"/>
      <w:r w:rsidRPr="00147B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edu</w:t>
      </w:r>
      <w:proofErr w:type="spellEnd"/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proofErr w:type="spellStart"/>
      <w:r w:rsidRPr="00147B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mos</w:t>
      </w:r>
      <w:proofErr w:type="spellEnd"/>
      <w:r w:rsidRPr="00147B1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proofErr w:type="spellStart"/>
      <w:r w:rsidRPr="00147B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ru</w:t>
      </w:r>
      <w:proofErr w:type="spellEnd"/>
    </w:p>
    <w:p w:rsidR="00147B1E" w:rsidRPr="00147B1E" w:rsidRDefault="00147B1E" w:rsidP="00147B1E">
      <w:pPr>
        <w:shd w:val="clear" w:color="auto" w:fill="FFFFFF" w:themeFill="background1"/>
        <w:suppressAutoHyphens/>
        <w:contextualSpacing/>
        <w:jc w:val="center"/>
        <w:rPr>
          <w:rFonts w:ascii="Times New Roman" w:eastAsia="Calibri" w:hAnsi="Times New Roman" w:cs="Times New Roman"/>
          <w:sz w:val="20"/>
          <w:u w:val="single"/>
        </w:rPr>
      </w:pPr>
      <w:r w:rsidRPr="00147B1E">
        <w:rPr>
          <w:rFonts w:ascii="Times New Roman" w:eastAsia="Calibri" w:hAnsi="Times New Roman" w:cs="Times New Roman"/>
          <w:sz w:val="20"/>
        </w:rPr>
        <w:t>ИНН 7715310719 / КПП 771501001</w:t>
      </w:r>
    </w:p>
    <w:p w:rsidR="00147B1E" w:rsidRDefault="00147B1E" w:rsidP="00147B1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34323" w:rsidRDefault="00F34323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 по предмету «Изобразительное искусство»</w:t>
      </w:r>
    </w:p>
    <w:p w:rsidR="00147B1E" w:rsidRPr="00147B1E" w:rsidRDefault="00147B1E" w:rsidP="00147B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«Тайны голландского натюрморта» </w:t>
      </w: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6 класс</w:t>
      </w: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Барчевская Мария Владимировна</w:t>
      </w:r>
    </w:p>
    <w:p w:rsidR="00147B1E" w:rsidRP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Дата проведения: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31.10.2025</w:t>
      </w:r>
    </w:p>
    <w:p w:rsid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Продолжительность: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45 мин</w:t>
      </w:r>
    </w:p>
    <w:p w:rsid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B1E" w:rsidRDefault="00147B1E" w:rsidP="00147B1E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323" w:rsidRDefault="00F34323" w:rsidP="00147B1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2025</w:t>
      </w:r>
    </w:p>
    <w:p w:rsidR="00F34323" w:rsidRDefault="00F34323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Предмет: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45 минут.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комбинированный урок (лекция + практика + обсуждение).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познакомить учащихся с голландским натюрмортом XVII века, его символикой и художественными особенностями; развить навыки «чтения» изобразительного текста.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Задачи:</w:t>
      </w:r>
    </w:p>
    <w:p w:rsidR="00147B1E" w:rsidRPr="00147B1E" w:rsidRDefault="00147B1E" w:rsidP="00147B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 жанре натюрморта и его специфике в голландской живописи;</w:t>
      </w:r>
    </w:p>
    <w:p w:rsidR="00147B1E" w:rsidRPr="00147B1E" w:rsidRDefault="00147B1E" w:rsidP="00147B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«расшифровывать» символику предметов в натюрморте;</w:t>
      </w:r>
    </w:p>
    <w:p w:rsidR="00147B1E" w:rsidRPr="00147B1E" w:rsidRDefault="00147B1E" w:rsidP="00147B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наблюдательность, ассоциативное и критическое мышление;</w:t>
      </w:r>
    </w:p>
    <w:p w:rsidR="00147B1E" w:rsidRPr="00147B1E" w:rsidRDefault="00147B1E" w:rsidP="00147B1E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эстетический вкус и интерес к мировому художественному наследию.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и материалы: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 и экран;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(12–15 слайдов) —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используется учителем для иллюстрации ключевых моментов, но в описании хода урока не разбивается на отдельные слайды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раздаточные карточки с изображениями натюрмортов и списком символов;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для групповой работы (таблицы «Предмет — Символ — Смысл»);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карандаши, листы А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творческого задания);</w:t>
      </w:r>
    </w:p>
    <w:p w:rsidR="00147B1E" w:rsidRPr="00147B1E" w:rsidRDefault="00147B1E" w:rsidP="00147B1E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фоновая барочная музыка (по желанию).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Ход урока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Вступление (5 мин)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приветствует класс, проверяет готовность к уроку. Для мотивации задаёт вопрос: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«Что можно сказать о человеке, если увидеть, что лежит у него на столе?»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Ученики кратко отвечают (2–3 минуты).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учитель кратко рассказывает о Золотом веке Голландии (1588–1672):</w:t>
      </w:r>
    </w:p>
    <w:p w:rsidR="00147B1E" w:rsidRPr="00147B1E" w:rsidRDefault="00147B1E" w:rsidP="00147B1E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обретение независимости от Испании;</w:t>
      </w:r>
    </w:p>
    <w:p w:rsidR="00147B1E" w:rsidRPr="00147B1E" w:rsidRDefault="00147B1E" w:rsidP="00147B1E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торговли, превращение Амстердама в финансовый центр Европы;</w:t>
      </w:r>
    </w:p>
    <w:p w:rsidR="00147B1E" w:rsidRPr="00147B1E" w:rsidRDefault="00147B1E" w:rsidP="00147B1E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протестантизма: смещение акцента с 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религиозной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светскую живопись;</w:t>
      </w:r>
    </w:p>
    <w:p w:rsidR="00147B1E" w:rsidRPr="00147B1E" w:rsidRDefault="00147B1E" w:rsidP="00147B1E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интереса к быту, природе, деталям повседневности.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учитель формулирует цель урока: научиться «читать» скрытые послания в натюрмортах. Вводит ключевое понятие: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stilleven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(«тихая жизнь») — голландское название натюрморта.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Основная часть (25 мин)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натюрморт и почему он стал «говорящей картиной» (7 мин)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Учитель объясняет:</w:t>
      </w:r>
    </w:p>
    <w:p w:rsidR="00147B1E" w:rsidRPr="00147B1E" w:rsidRDefault="00147B1E" w:rsidP="00147B1E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 — изображение неодушевлённых предметов, объединённых в композицию;</w:t>
      </w:r>
    </w:p>
    <w:p w:rsidR="00147B1E" w:rsidRPr="00147B1E" w:rsidRDefault="00147B1E" w:rsidP="00147B1E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Голландии жанр расцвёл из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за протестантской этики (отказ от пышной религиозной живописи), роста среднего класса (спрос на бытовые сцены) и интереса к материальному миру;</w:t>
      </w:r>
    </w:p>
    <w:p w:rsidR="00147B1E" w:rsidRPr="00147B1E" w:rsidRDefault="00147B1E" w:rsidP="00147B1E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vanitas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нравственное назидание: напоминание о бренности жизни (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memento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mori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 символов: разбираем по группам (10 мин)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демонстрирует подборку изображений (фрагменты картин) и комментирует, ученики заполняют таблицу в раздаточных материалах.</w:t>
      </w:r>
    </w:p>
    <w:p w:rsidR="00147B1E" w:rsidRPr="00147B1E" w:rsidRDefault="00147B1E" w:rsidP="00147B1E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Цветы: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роза — любовь / бренность;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тюльпан — тщеславие, мода;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ирис — надежда;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 — сон / смерть.</w:t>
      </w:r>
    </w:p>
    <w:p w:rsidR="00147B1E" w:rsidRPr="00147B1E" w:rsidRDefault="00147B1E" w:rsidP="00147B1E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Еда: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лимон — 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горькая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правда, искушение;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 — кровь Христова, спасение;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 — тело Христово, духовная пища;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устрицы — соблазн, грех.</w:t>
      </w:r>
    </w:p>
    <w:p w:rsidR="00147B1E" w:rsidRPr="00147B1E" w:rsidRDefault="00147B1E" w:rsidP="00147B1E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Предметы: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бокал — хрупкость жизни;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— время, неумолимость;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зеркало — самопознание, истина;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— знания, мудрость.</w:t>
      </w:r>
    </w:p>
    <w:p w:rsidR="00147B1E" w:rsidRPr="00147B1E" w:rsidRDefault="00147B1E" w:rsidP="00147B1E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Животные/насекомые: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бабочка — душа, возрождение;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 — грех, разрушение;</w:t>
      </w:r>
    </w:p>
    <w:p w:rsidR="00147B1E" w:rsidRPr="00147B1E" w:rsidRDefault="00147B1E" w:rsidP="00147B1E">
      <w:pPr>
        <w:numPr>
          <w:ilvl w:val="1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ящерица — смертность, бренность.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 для пар (3 мин):</w:t>
      </w:r>
    </w:p>
    <w:p w:rsidR="00147B1E" w:rsidRPr="00147B1E" w:rsidRDefault="00147B1E" w:rsidP="00147B1E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1 репродукцию из раздаточных материалов.</w:t>
      </w:r>
    </w:p>
    <w:p w:rsidR="00147B1E" w:rsidRPr="00147B1E" w:rsidRDefault="00147B1E" w:rsidP="00147B1E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2–3 предмета и попробуйте «прочитать» их смысл, опираясь на таблицу символов.</w:t>
      </w:r>
    </w:p>
    <w:p w:rsidR="00147B1E" w:rsidRPr="00147B1E" w:rsidRDefault="00147B1E" w:rsidP="00147B1E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 в паре: какое послание несёт картина?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художники «играют» со зрителем (5 мин)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раскрывает художественные приёмы:</w:t>
      </w:r>
    </w:p>
    <w:p w:rsidR="00147B1E" w:rsidRPr="00147B1E" w:rsidRDefault="00147B1E" w:rsidP="00147B1E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Композиция: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нижний ярус — символы увядания (черепа, опрокинутые бокалы); верхний ярус — надежды (цветы, свет).</w:t>
      </w:r>
      <w:proofErr w:type="gramEnd"/>
    </w:p>
    <w:p w:rsidR="00147B1E" w:rsidRPr="00147B1E" w:rsidRDefault="00147B1E" w:rsidP="00147B1E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Светотень: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свет = духовность, чистота; тьма = грех, забвение.</w:t>
      </w:r>
    </w:p>
    <w:p w:rsidR="00147B1E" w:rsidRPr="00147B1E" w:rsidRDefault="00147B1E" w:rsidP="00147B1E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Оптические иллюзии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trompe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noBreakHyphen/>
        <w:t>l’œil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): капли воды на стекле, текстура ткани.</w:t>
      </w:r>
    </w:p>
    <w:p w:rsidR="00147B1E" w:rsidRPr="00147B1E" w:rsidRDefault="00147B1E" w:rsidP="00147B1E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Скрытые надписи: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memento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mori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инициалы художника.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Мастера и их почерк (3 мин)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кратко характеризует ключевых художников:</w:t>
      </w:r>
    </w:p>
    <w:p w:rsidR="00147B1E" w:rsidRPr="00147B1E" w:rsidRDefault="00147B1E" w:rsidP="00147B1E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Виллем</w:t>
      </w:r>
      <w:proofErr w:type="spellEnd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</w:t>
      </w:r>
      <w:proofErr w:type="spellEnd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Хеда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«завтраки» с лимонами, монохромная палитра.</w:t>
      </w:r>
    </w:p>
    <w:p w:rsidR="00147B1E" w:rsidRPr="00147B1E" w:rsidRDefault="00147B1E" w:rsidP="00147B1E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Ян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Давидс</w:t>
      </w:r>
      <w:proofErr w:type="spellEnd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Хем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пышные цветочные композиции, яркость.</w:t>
      </w:r>
    </w:p>
    <w:p w:rsidR="00147B1E" w:rsidRPr="00147B1E" w:rsidRDefault="00147B1E" w:rsidP="00147B1E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Питер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vanitas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с черепами, контрастная светотень.</w:t>
      </w:r>
    </w:p>
    <w:p w:rsidR="00147B1E" w:rsidRPr="00147B1E" w:rsidRDefault="00147B1E" w:rsidP="00147B1E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Виллем</w:t>
      </w:r>
      <w:proofErr w:type="spellEnd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Кальф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роскошные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pronkstilleven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игра света на драгоценностях.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Практическая работа (10 мин)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 1 (в парах, 5 мин):</w:t>
      </w:r>
    </w:p>
    <w:p w:rsidR="00147B1E" w:rsidRPr="00147B1E" w:rsidRDefault="00147B1E" w:rsidP="00147B1E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Получите репродукцию натюрморта и список символов.</w:t>
      </w:r>
    </w:p>
    <w:p w:rsidR="00147B1E" w:rsidRPr="00147B1E" w:rsidRDefault="00147B1E" w:rsidP="00147B1E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3–5 предметов на картине.</w:t>
      </w:r>
    </w:p>
    <w:p w:rsidR="00147B1E" w:rsidRPr="00147B1E" w:rsidRDefault="00147B1E" w:rsidP="00147B1E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их с символами из списка.</w:t>
      </w:r>
    </w:p>
    <w:p w:rsidR="00147B1E" w:rsidRPr="00147B1E" w:rsidRDefault="00147B1E" w:rsidP="00147B1E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таблицу: «Предмет — Символ — Возможный смысл».</w:t>
      </w:r>
    </w:p>
    <w:p w:rsidR="00147B1E" w:rsidRPr="00147B1E" w:rsidRDefault="00147B1E" w:rsidP="00147B1E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Придумайте краткое название картины, отражающее её послание (например,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«Бренность красоты»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Обсуждение (2 мин):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2–3 пары озвучивают выводы; класс комментирует.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 2 (индивидуально, 3 мин):</w:t>
      </w:r>
    </w:p>
    <w:p w:rsidR="00147B1E" w:rsidRPr="00147B1E" w:rsidRDefault="00147B1E" w:rsidP="00147B1E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А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нарисуйте мини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натюрморт из 3–4 предметов, каждый из которых несёт скрытый смысл (например: свеча = жизнь, перо = творчество, яблоко = искушение).</w:t>
      </w:r>
    </w:p>
    <w:p w:rsidR="00147B1E" w:rsidRPr="00147B1E" w:rsidRDefault="00147B1E" w:rsidP="00147B1E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Подпишите под рисунком: «Что означает каждый предмет?».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Заключение (5 мин)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Рефлексия (3 мин):</w:t>
      </w:r>
    </w:p>
    <w:p w:rsidR="00147B1E" w:rsidRPr="00147B1E" w:rsidRDefault="00147B1E" w:rsidP="00147B1E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нового вы узнали о натюрморте?»</w:t>
      </w:r>
    </w:p>
    <w:p w:rsidR="00147B1E" w:rsidRPr="00147B1E" w:rsidRDefault="00147B1E" w:rsidP="00147B1E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«Какой символ вас удивил больше всего? Почему?»</w:t>
      </w:r>
    </w:p>
    <w:p w:rsidR="00147B1E" w:rsidRPr="00147B1E" w:rsidRDefault="00147B1E" w:rsidP="00147B1E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можно использовать этот опыт в жизни?» (умение видеть скрытый смысл, критическое мышление).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Домашнее задание (на выбор, 2 мин):</w:t>
      </w:r>
    </w:p>
    <w:p w:rsidR="00147B1E" w:rsidRPr="00147B1E" w:rsidRDefault="00147B1E" w:rsidP="00147B1E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интернете 1 голландский натюрморт XVII века. Выпишите 5 символов и их значение.</w:t>
      </w:r>
    </w:p>
    <w:p w:rsidR="00147B1E" w:rsidRPr="00147B1E" w:rsidRDefault="00147B1E" w:rsidP="00147B1E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Придумайте и опишите свой натюрморт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послание (например, «О важности учёбы» или «О дружбе»).</w:t>
      </w:r>
    </w:p>
    <w:p w:rsidR="00147B1E" w:rsidRPr="00147B1E" w:rsidRDefault="00147B1E" w:rsidP="00147B1E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Нарисуйте натюрморт с символикой на тему «Мои мечты» (3–5 предметов + подписи значений).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 оценивания (для учителя)</w:t>
      </w:r>
    </w:p>
    <w:p w:rsidR="00147B1E" w:rsidRPr="00147B1E" w:rsidRDefault="00147B1E" w:rsidP="00147B1E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Активность на обсуждении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 балла.</w:t>
      </w:r>
    </w:p>
    <w:p w:rsidR="00147B1E" w:rsidRPr="00147B1E" w:rsidRDefault="00147B1E" w:rsidP="00147B1E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Полнота анализа в таблице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3 балла (3 предмета + символы + смысл).</w:t>
      </w:r>
    </w:p>
    <w:p w:rsidR="00147B1E" w:rsidRPr="00147B1E" w:rsidRDefault="00147B1E" w:rsidP="00147B1E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Оригинальность мини</w:t>
      </w: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noBreakHyphen/>
        <w:t>натюрморта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 балла.</w:t>
      </w:r>
    </w:p>
    <w:p w:rsidR="00147B1E" w:rsidRPr="00147B1E" w:rsidRDefault="00147B1E" w:rsidP="00147B1E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Логичность пояснений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 балла.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максимум 9 баллов.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примечания</w:t>
      </w:r>
    </w:p>
    <w:p w:rsidR="00147B1E" w:rsidRPr="00147B1E" w:rsidRDefault="00147B1E" w:rsidP="00147B1E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слабоуспевающих: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предоставьте шаблон таблицы с частично заполненными ячейками;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дополнительные подсказки по символике.</w:t>
      </w:r>
    </w:p>
    <w:p w:rsidR="00147B1E" w:rsidRPr="00147B1E" w:rsidRDefault="00147B1E" w:rsidP="00147B1E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одарённых: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найти 1–2 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малоизвестных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символа (например, ракушка = паломничество, пшеница = возрождение);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попросите сравнить 2 натюрморта разных мастеров и выявить отличия в символике.</w:t>
      </w:r>
    </w:p>
    <w:p w:rsidR="00147B1E" w:rsidRPr="00147B1E" w:rsidRDefault="00147B1E" w:rsidP="00147B1E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Атмосфера: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включите барочную музыку (например, произведения И. С. Баха) во время практической работы.</w:t>
      </w:r>
    </w:p>
    <w:p w:rsidR="00147B1E" w:rsidRPr="00147B1E" w:rsidRDefault="00147B1E" w:rsidP="00147B1E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Дифференциация: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 с высоким уровнем можно дать более сложные репродукции;</w:t>
      </w:r>
    </w:p>
    <w:p w:rsidR="00147B1E" w:rsidRPr="00147B1E" w:rsidRDefault="00147B1E" w:rsidP="00147B1E">
      <w:pPr>
        <w:numPr>
          <w:ilvl w:val="1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 с трудностями — картины с явными, «читаемыми» символами.</w:t>
      </w: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4323" w:rsidRDefault="00F34323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7B1E" w:rsidRPr="00147B1E" w:rsidRDefault="00147B1E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Основная литература:</w:t>
      </w:r>
    </w:p>
    <w:p w:rsidR="00147B1E" w:rsidRPr="00147B1E" w:rsidRDefault="00147B1E" w:rsidP="00147B1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Верижникова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 Т. Ф.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Малые голландцы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Аврора, 2004. — 256 с.</w:t>
      </w:r>
    </w:p>
    <w:p w:rsidR="00147B1E" w:rsidRPr="00147B1E" w:rsidRDefault="00147B1E" w:rsidP="00147B1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Виппер Б. Р.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Проблема и развитие натюрморта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классика, 2005. — 384 с.</w:t>
      </w:r>
    </w:p>
    <w:p w:rsidR="00147B1E" w:rsidRPr="00147B1E" w:rsidRDefault="00147B1E" w:rsidP="00147B1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 Ю. Н. 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Эмблематика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мире старинного натюрморта. К проблеме прочтения символа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Наука, 1997. — С. 37–89.</w:t>
      </w:r>
    </w:p>
    <w:p w:rsidR="00147B1E" w:rsidRPr="00147B1E" w:rsidRDefault="00147B1E" w:rsidP="00147B1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Тарасов Ю. А.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Голландский натюрморт XVII века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2004.</w:t>
      </w:r>
    </w:p>
    <w:p w:rsidR="00147B1E" w:rsidRPr="00147B1E" w:rsidRDefault="00147B1E" w:rsidP="00147B1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Щербачева М. И.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Натюрморт в голландской живописи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М., 1945.</w:t>
      </w:r>
    </w:p>
    <w:p w:rsidR="00147B1E" w:rsidRPr="00147B1E" w:rsidRDefault="00147B1E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Дополнительная литература и научные работы: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Лотман Ю. М.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Статьи по семиотике и топологии культуры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Таллин: Александра, 1992. — С. 12–21.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Панофски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 Э.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Смысл и толкование изобразительного искусства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1999.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proofErr w:type="spell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Подорога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 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Что такое 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nature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morte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// Синий диван. — 2006. — № 9.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Религиоведение для студентов педагогических вузов: учебное пособие / под общ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 Ю. Григоренко. — СПб</w:t>
      </w:r>
      <w:proofErr w:type="gram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2008. — С. 437–444.</w:t>
      </w:r>
    </w:p>
    <w:p w:rsidR="00147B1E" w:rsidRPr="00147B1E" w:rsidRDefault="00147B1E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Каталоги и издания по музейным собраниям: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Зримый образ и скрытый смысл. Аллегории и </w:t>
      </w:r>
      <w:proofErr w:type="spellStart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эмблематика</w:t>
      </w:r>
      <w:proofErr w:type="spellEnd"/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живописи Фландрии и Голландии второй половины XVI–XVII веков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каталог выставки. — М.: ГМИИ им. А. С. Пушкина, 2004.</w:t>
      </w:r>
    </w:p>
    <w:p w:rsidR="00147B1E" w:rsidRPr="00147B1E" w:rsidRDefault="00147B1E" w:rsidP="0014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</w:t>
      </w:r>
      <w:r w:rsidRPr="00147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ресурсы (для подготовки и демонстрации материалов):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Маркова Н.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символике цветов в классическом искусстве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URL: </w:t>
      </w:r>
      <w:hyperlink r:id="rId6" w:tgtFrame="_blank" w:history="1">
        <w:r w:rsidRPr="00147B1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7BD8AC01" wp14:editId="424B948E">
              <wp:extent cx="301625" cy="301625"/>
              <wp:effectExtent l="0" t="0" r="3175" b="3175"/>
              <wp:docPr id="1" name="Рисунок 1" descr="moy-bereg.ru">
                <a:hlinkClick xmlns:a="http://schemas.openxmlformats.org/drawingml/2006/main" r:id="rId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moy-bereg.ru">
                        <a:hlinkClick r:id="rId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162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47B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http://moy-bereg.ru/simvolika-tsvetov/o-simvolike-tsvetov-v-klassicheskom-iskusstve-2.html</w:t>
        </w:r>
      </w:hyperlink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Григорьева Е.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Образование смысла в натюрморте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URL: </w:t>
      </w:r>
      <w:hyperlink r:id="rId8" w:tgtFrame="_blank" w:history="1">
        <w:r w:rsidRPr="00147B1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688EDE88" wp14:editId="4BFBE42B">
              <wp:extent cx="301625" cy="301625"/>
              <wp:effectExtent l="0" t="0" r="3175" b="3175"/>
              <wp:docPr id="2" name="Рисунок 2" descr="www.sguez.com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www.sguez.com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162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47B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http://www.sguez.com/cgi-bin/ceilidh/art/?C31894289bQ10-5187-1363-00.htm</w:t>
        </w:r>
      </w:hyperlink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 </w:t>
      </w:r>
      <w:proofErr w:type="spellStart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Бурини</w:t>
      </w:r>
      <w:proofErr w:type="spellEnd"/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 С.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Типология натюрморта в литературе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URL: </w:t>
      </w:r>
      <w:hyperlink r:id="rId10" w:tgtFrame="_blank" w:history="1">
        <w:r w:rsidRPr="00147B1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196D1A84" wp14:editId="099F0C14">
              <wp:extent cx="301625" cy="301625"/>
              <wp:effectExtent l="0" t="0" r="0" b="3175"/>
              <wp:docPr id="3" name="Рисунок 3" descr="www.openstarts.units.it">
                <a:hlinkClick xmlns:a="http://schemas.openxmlformats.org/drawingml/2006/main" r:id="rId10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www.openstarts.units.it">
                        <a:hlinkClick r:id="rId10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162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47B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http://www.openstarts.units.it/dspace/bitstream/10077/2364/1/10.pdf</w:t>
        </w:r>
      </w:hyperlink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Нестеров А. В. </w:t>
      </w:r>
      <w:r w:rsidRPr="00147B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«Век мой, зверь мой…» или о символическом мышлении и «анималистических кодах» в связи с портретами XVI–XVII вв.</w:t>
      </w:r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URL: </w:t>
      </w:r>
      <w:hyperlink r:id="rId12" w:tgtFrame="_blank" w:history="1">
        <w:r w:rsidRPr="00147B1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359F11BD" wp14:editId="32785B86">
              <wp:extent cx="301625" cy="301625"/>
              <wp:effectExtent l="0" t="0" r="3175" b="3175"/>
              <wp:docPr id="4" name="Рисунок 4" descr="ithaca-66.livejournal.com">
                <a:hlinkClick xmlns:a="http://schemas.openxmlformats.org/drawingml/2006/main" r:id="rId12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ithaca-66.livejournal.com">
                        <a:hlinkClick r:id="rId12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162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47B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http://ithaca-66.livejournal.com/2445.html</w:t>
        </w:r>
      </w:hyperlink>
      <w:r w:rsidRPr="00147B1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tgtFrame="_blank" w:history="1">
        <w:r w:rsidRPr="00147B1E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 wp14:anchorId="4E5BF1AE" wp14:editId="38537D6C">
              <wp:extent cx="301625" cy="301625"/>
              <wp:effectExtent l="0" t="0" r="3175" b="3175"/>
              <wp:docPr id="5" name="Рисунок 5" descr="ithaca-66.livejournal.com">
                <a:hlinkClick xmlns:a="http://schemas.openxmlformats.org/drawingml/2006/main" r:id="rId14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ithaca-66.livejournal.com">
                        <a:hlinkClick r:id="rId14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162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47B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http://ithaca-66.livejournal.com/19315.html</w:t>
        </w:r>
      </w:hyperlink>
    </w:p>
    <w:p w:rsidR="002C40AB" w:rsidRPr="00147B1E" w:rsidRDefault="00E15535">
      <w:pPr>
        <w:rPr>
          <w:rFonts w:ascii="Times New Roman" w:hAnsi="Times New Roman" w:cs="Times New Roman"/>
          <w:sz w:val="24"/>
          <w:szCs w:val="24"/>
        </w:rPr>
      </w:pPr>
    </w:p>
    <w:sectPr w:rsidR="002C40AB" w:rsidRPr="00147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5753"/>
    <w:multiLevelType w:val="multilevel"/>
    <w:tmpl w:val="B4D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580"/>
    <w:multiLevelType w:val="multilevel"/>
    <w:tmpl w:val="F83E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53D82"/>
    <w:multiLevelType w:val="multilevel"/>
    <w:tmpl w:val="DF3A5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5757FE"/>
    <w:multiLevelType w:val="multilevel"/>
    <w:tmpl w:val="D3A6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1042E"/>
    <w:multiLevelType w:val="multilevel"/>
    <w:tmpl w:val="2AC40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85367E"/>
    <w:multiLevelType w:val="multilevel"/>
    <w:tmpl w:val="70DE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D467D7"/>
    <w:multiLevelType w:val="multilevel"/>
    <w:tmpl w:val="EC34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F83C37"/>
    <w:multiLevelType w:val="multilevel"/>
    <w:tmpl w:val="8324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121B4F"/>
    <w:multiLevelType w:val="multilevel"/>
    <w:tmpl w:val="A0765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BC7D6F"/>
    <w:multiLevelType w:val="multilevel"/>
    <w:tmpl w:val="A920B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77B84"/>
    <w:multiLevelType w:val="multilevel"/>
    <w:tmpl w:val="98C2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FF57F5"/>
    <w:multiLevelType w:val="multilevel"/>
    <w:tmpl w:val="170E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48176F"/>
    <w:multiLevelType w:val="multilevel"/>
    <w:tmpl w:val="82AA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CE205E"/>
    <w:multiLevelType w:val="multilevel"/>
    <w:tmpl w:val="FD6E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0A134F"/>
    <w:multiLevelType w:val="multilevel"/>
    <w:tmpl w:val="E3F6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3E6941"/>
    <w:multiLevelType w:val="multilevel"/>
    <w:tmpl w:val="787A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5A7F96"/>
    <w:multiLevelType w:val="multilevel"/>
    <w:tmpl w:val="DD66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170CD3"/>
    <w:multiLevelType w:val="multilevel"/>
    <w:tmpl w:val="66A6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9A33CA"/>
    <w:multiLevelType w:val="multilevel"/>
    <w:tmpl w:val="323A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C25486"/>
    <w:multiLevelType w:val="multilevel"/>
    <w:tmpl w:val="C3FC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05F22"/>
    <w:multiLevelType w:val="multilevel"/>
    <w:tmpl w:val="CEC4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5E06B4"/>
    <w:multiLevelType w:val="multilevel"/>
    <w:tmpl w:val="A932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6D18BF"/>
    <w:multiLevelType w:val="multilevel"/>
    <w:tmpl w:val="2C7A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DF6ACF"/>
    <w:multiLevelType w:val="multilevel"/>
    <w:tmpl w:val="9B4C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C313F0"/>
    <w:multiLevelType w:val="multilevel"/>
    <w:tmpl w:val="0E8C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ED2392"/>
    <w:multiLevelType w:val="multilevel"/>
    <w:tmpl w:val="7BC0E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231DCC"/>
    <w:multiLevelType w:val="multilevel"/>
    <w:tmpl w:val="B468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0741C1"/>
    <w:multiLevelType w:val="multilevel"/>
    <w:tmpl w:val="BBC6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98672B"/>
    <w:multiLevelType w:val="multilevel"/>
    <w:tmpl w:val="6930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7"/>
  </w:num>
  <w:num w:numId="5">
    <w:abstractNumId w:val="28"/>
  </w:num>
  <w:num w:numId="6">
    <w:abstractNumId w:val="26"/>
  </w:num>
  <w:num w:numId="7">
    <w:abstractNumId w:val="19"/>
  </w:num>
  <w:num w:numId="8">
    <w:abstractNumId w:val="17"/>
  </w:num>
  <w:num w:numId="9">
    <w:abstractNumId w:val="17"/>
    <w:lvlOverride w:ilvl="1">
      <w:lvl w:ilvl="1">
        <w:numFmt w:val="decimal"/>
        <w:lvlText w:val="%2."/>
        <w:lvlJc w:val="left"/>
      </w:lvl>
    </w:lvlOverride>
  </w:num>
  <w:num w:numId="10">
    <w:abstractNumId w:val="21"/>
  </w:num>
  <w:num w:numId="11">
    <w:abstractNumId w:val="24"/>
  </w:num>
  <w:num w:numId="12">
    <w:abstractNumId w:val="6"/>
  </w:num>
  <w:num w:numId="13">
    <w:abstractNumId w:val="20"/>
  </w:num>
  <w:num w:numId="14">
    <w:abstractNumId w:val="1"/>
  </w:num>
  <w:num w:numId="15">
    <w:abstractNumId w:val="15"/>
  </w:num>
  <w:num w:numId="16">
    <w:abstractNumId w:val="8"/>
  </w:num>
  <w:num w:numId="17">
    <w:abstractNumId w:val="2"/>
  </w:num>
  <w:num w:numId="18">
    <w:abstractNumId w:val="22"/>
  </w:num>
  <w:num w:numId="19">
    <w:abstractNumId w:val="11"/>
  </w:num>
  <w:num w:numId="20">
    <w:abstractNumId w:val="12"/>
  </w:num>
  <w:num w:numId="21">
    <w:abstractNumId w:val="0"/>
  </w:num>
  <w:num w:numId="22">
    <w:abstractNumId w:val="18"/>
  </w:num>
  <w:num w:numId="23">
    <w:abstractNumId w:val="25"/>
  </w:num>
  <w:num w:numId="24">
    <w:abstractNumId w:val="4"/>
  </w:num>
  <w:num w:numId="25">
    <w:abstractNumId w:val="5"/>
  </w:num>
  <w:num w:numId="26">
    <w:abstractNumId w:val="9"/>
  </w:num>
  <w:num w:numId="27">
    <w:abstractNumId w:val="27"/>
  </w:num>
  <w:num w:numId="28">
    <w:abstractNumId w:val="23"/>
  </w:num>
  <w:num w:numId="29">
    <w:abstractNumId w:val="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5C"/>
    <w:rsid w:val="00147B1E"/>
    <w:rsid w:val="00702C5C"/>
    <w:rsid w:val="00950457"/>
    <w:rsid w:val="00CF186F"/>
    <w:rsid w:val="00E15535"/>
    <w:rsid w:val="00F3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B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7B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14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B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7B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14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8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19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5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2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2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28178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26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56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04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74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0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4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80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533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49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07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06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07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732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22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23762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66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70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565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75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816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07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guez.com/cgi-bin/ceilidh/art/?C31894289bQ10-5187-1363-00.htm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ithaca-66.livejournal.com/2445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oy-bereg.ru/simvolika-tsvetov/o-simvolike-tsvetov-v-klassicheskom-iskusstve-2.html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starts.units.it/dspace/bitstream/10077/2364/1/10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ithaca-66.livejournal.com/193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2025-10-31T20:01:00Z</dcterms:created>
  <dcterms:modified xsi:type="dcterms:W3CDTF">2025-10-31T20:01:00Z</dcterms:modified>
</cp:coreProperties>
</file>