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283">
        <w:rPr>
          <w:rFonts w:ascii="Times New Roman" w:hAnsi="Times New Roman" w:cs="Times New Roman"/>
          <w:b/>
          <w:bCs/>
          <w:sz w:val="28"/>
          <w:szCs w:val="28"/>
        </w:rPr>
        <w:t>Повышение профессиональной компетентности педагога ДОО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283">
        <w:rPr>
          <w:rFonts w:ascii="Times New Roman" w:hAnsi="Times New Roman" w:cs="Times New Roman"/>
          <w:b/>
          <w:bCs/>
          <w:sz w:val="28"/>
          <w:szCs w:val="28"/>
        </w:rPr>
        <w:t>через использование инновационных форм и методов работы</w:t>
      </w:r>
    </w:p>
    <w:p w:rsidR="003D2283" w:rsidRDefault="003D2283" w:rsidP="003D2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D2283">
        <w:rPr>
          <w:rFonts w:ascii="Times New Roman" w:hAnsi="Times New Roman" w:cs="Times New Roman"/>
          <w:i/>
          <w:iCs/>
          <w:sz w:val="28"/>
          <w:szCs w:val="28"/>
        </w:rPr>
        <w:t>Замуруева</w:t>
      </w:r>
      <w:proofErr w:type="spellEnd"/>
      <w:r w:rsidRPr="003D2283">
        <w:rPr>
          <w:rFonts w:ascii="Times New Roman" w:hAnsi="Times New Roman" w:cs="Times New Roman"/>
          <w:i/>
          <w:iCs/>
          <w:sz w:val="28"/>
          <w:szCs w:val="28"/>
        </w:rPr>
        <w:t xml:space="preserve"> Л. В., ст</w:t>
      </w:r>
      <w:proofErr w:type="gramStart"/>
      <w:r w:rsidRPr="003D2283">
        <w:rPr>
          <w:rFonts w:ascii="Times New Roman" w:hAnsi="Times New Roman" w:cs="Times New Roman"/>
          <w:i/>
          <w:iCs/>
          <w:sz w:val="28"/>
          <w:szCs w:val="28"/>
        </w:rPr>
        <w:t>.в</w:t>
      </w:r>
      <w:proofErr w:type="gramEnd"/>
      <w:r w:rsidRPr="003D2283">
        <w:rPr>
          <w:rFonts w:ascii="Times New Roman" w:hAnsi="Times New Roman" w:cs="Times New Roman"/>
          <w:i/>
          <w:iCs/>
          <w:sz w:val="28"/>
          <w:szCs w:val="28"/>
        </w:rPr>
        <w:t xml:space="preserve">оспитатель </w:t>
      </w:r>
    </w:p>
    <w:p w:rsidR="003D2283" w:rsidRDefault="003D2283" w:rsidP="003D2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3D2283">
        <w:rPr>
          <w:rFonts w:ascii="Times New Roman" w:hAnsi="Times New Roman" w:cs="Times New Roman"/>
          <w:i/>
          <w:iCs/>
          <w:sz w:val="28"/>
          <w:szCs w:val="28"/>
        </w:rPr>
        <w:t>МБДОУ «Детский сад №2», п. Верховье</w:t>
      </w:r>
      <w:r w:rsidR="004D7977">
        <w:rPr>
          <w:rFonts w:ascii="Times New Roman" w:hAnsi="Times New Roman" w:cs="Times New Roman"/>
          <w:i/>
          <w:iCs/>
          <w:sz w:val="28"/>
          <w:szCs w:val="28"/>
        </w:rPr>
        <w:t>, Орловская область</w:t>
      </w:r>
    </w:p>
    <w:p w:rsidR="004D7977" w:rsidRPr="003D2283" w:rsidRDefault="004D7977" w:rsidP="003D22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3D2283" w:rsidRPr="003D2283" w:rsidRDefault="004D7977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ФГОС ДО ставит задачу достижения нового, современного качества дошкольного образования, связанного с созданием условий для развития личности ребенка,</w:t>
      </w:r>
      <w:r w:rsidR="003D228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способной реализовать себя как часть социума. В связи с этим предполагается и новое</w:t>
      </w:r>
      <w:r w:rsidR="003D228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содержание профессиональной деятельности педагогов ДОО, их готовность осваивать</w:t>
      </w:r>
      <w:r w:rsidR="003D228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 xml:space="preserve">и внедрять инновации, востребованные в современном обществе. Для успешного введения в практику инноваций и эффективной реализации поставленных задач </w:t>
      </w:r>
      <w:proofErr w:type="gramStart"/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в</w:t>
      </w:r>
      <w:proofErr w:type="gramEnd"/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 xml:space="preserve"> новых</w:t>
      </w:r>
    </w:p>
    <w:p w:rsidR="00295167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условиях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от педагога требуется высокий уровень профессиональной педагогической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компетентности.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Развитие профессиональной компетентности, повышение уровня мастерства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педагогов — приоритетное направление деятельности методической работы детского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сада, которая занимает особое место в системе управления дошкольным учреждением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и представляет важное звено в целостной системе повышения квалификации педагогических кадров, так как, прежде всего, способствует активизации личности педагога,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развитию его творческой личности.</w:t>
      </w:r>
      <w:proofErr w:type="gramEnd"/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Профессионализм педагога, работающего с детьми, связан, в первую очередь,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с коммуникативной компетентностью, с умением играть и общаться с детьми. Для этого в ДОО используются разнообразные инновационные формы повышения профессиональной компетентности педагогов. Ценность их в том, что они обеспечивают обратную связь, откровенный обмен мнениями, формируют положительные отношения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между сотрудниками. Стержнем данных форм работы с кадрами являются коллективные обсуждения, рассуждения, аргументация выводов, соревнования умов и талантов.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Цель: стимулирование интереса и мотивации к самообразованию, повышение уровня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активности и самостоятельности, развитие навыков анализа и рефлексии своей деятельности, развитие стремления к сотрудничеству,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эмпатии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>.</w:t>
      </w:r>
      <w:proofErr w:type="gramEnd"/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Из множества форм и методов, рекомендуемых в настоящее время для повышения профессиональной компетентности педагогов, используются как традиционные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формы, так и новые, активные формы работы, которым свойственно вовлечение педагогов в деятельность и диалог, предполагающий свободный обмен мнениями. Однако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хотелось бы отметить, что нет и не может быть деления форм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на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новые и старые,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современные и несовременные, так как каждая из них отвечает определенному содержанию. Любая традиционная форма может быть активной, если построена грамотно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по содержанию и методам и реализует такие важные функции, как информационная,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ориентирующая и развивающая.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Основной направленностью интерактивных форм является активизация педагогов, развитие их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креативного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мышления, нестандартный выход из проблемной ситуации. Остановимся на некоторых из них: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sz w:val="28"/>
          <w:szCs w:val="28"/>
        </w:rPr>
        <w:t xml:space="preserve">    </w:t>
      </w:r>
      <w:proofErr w:type="gramStart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Семинар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является наиболее продуктивной формой повышения квалификации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педагогов: основное внимание уделяется повышению теоретической подготовки педагогов, развитию их творческого мышления и созданию инновационных проектов.</w:t>
      </w:r>
      <w:proofErr w:type="gramEnd"/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Необходимым условием организации семинаров является посильное участие всех педагогов.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  Творческие занятия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направлены на развитии творческого мышления и создание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творческих инновационных проектов.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Мастер – класс</w:t>
      </w:r>
      <w:r w:rsidRPr="00F24230">
        <w:rPr>
          <w:rFonts w:ascii="Times New Roman" w:eastAsia="TimesNewRoman" w:hAnsi="Times New Roman" w:cs="Times New Roman"/>
          <w:b/>
          <w:sz w:val="28"/>
          <w:szCs w:val="28"/>
        </w:rPr>
        <w:t>.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Его основная цель – знакомство с педагогическим опытом,</w:t>
      </w:r>
      <w:r w:rsidR="00F2423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системой работы, авторскими находками и всем тем, что помогло педагогу достичь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наилучших результатов. Мастер – класс можно проводить как внутри ДОУ, так 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для педагогов ДОУ района, области.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Тренинг</w:t>
      </w:r>
      <w:r w:rsidRPr="00F24230">
        <w:rPr>
          <w:rFonts w:ascii="Times New Roman" w:eastAsia="TimesNewRoman" w:hAnsi="Times New Roman" w:cs="Times New Roman"/>
          <w:b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(быстрое реагирование, быстрое обучение)– метод активного обучения,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направленный на развитие знаний, умений и навыков, а также социальных установок.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Цель – отработка профессиональных навыков и умений, повышение самооценки,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умение справиться с негативными эмоциональными и личностными проблемами.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При проведении тренинга широко используются педагогические ситуации, раздаточный материал, технические средства обучения.</w:t>
      </w:r>
    </w:p>
    <w:p w:rsidR="003D2283" w:rsidRDefault="00F24230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 </w:t>
      </w:r>
      <w:r w:rsidR="003D2283"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Игровое моделирование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 xml:space="preserve"> (деловые игры, брифинги, ролевые игры) – подразумевают моделирование реального процесса, во время которого принимаются </w:t>
      </w:r>
      <w:proofErr w:type="gramStart"/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оптимальные профессиональные</w:t>
      </w:r>
      <w:proofErr w:type="gramEnd"/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 xml:space="preserve"> решения на основе анализа искусственно созданных педагогических ситуаций. Деловая игра, брифинги используются в методической работе</w:t>
      </w:r>
      <w:r w:rsidR="003D228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как эффектная форма проведения на педагогических советах. Деловая игра как метод</w:t>
      </w:r>
      <w:r w:rsidR="003D228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обучения позволяет «прожить» ту или иную практическую ситуацию.</w:t>
      </w:r>
    </w:p>
    <w:p w:rsidR="00A1166F" w:rsidRPr="00A1166F" w:rsidRDefault="00A1166F" w:rsidP="00A1166F">
      <w:pPr>
        <w:pStyle w:val="c1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rStyle w:val="c15"/>
          <w:b/>
          <w:bCs/>
          <w:i/>
          <w:iCs/>
          <w:sz w:val="28"/>
          <w:szCs w:val="28"/>
        </w:rPr>
        <w:t xml:space="preserve">    </w:t>
      </w:r>
      <w:r w:rsidRPr="00A1166F">
        <w:rPr>
          <w:rStyle w:val="c15"/>
          <w:b/>
          <w:bCs/>
          <w:i/>
          <w:iCs/>
          <w:sz w:val="28"/>
          <w:szCs w:val="28"/>
        </w:rPr>
        <w:t>«Брифинг»</w:t>
      </w:r>
      <w:r>
        <w:rPr>
          <w:rStyle w:val="c15"/>
          <w:b/>
          <w:bCs/>
          <w:i/>
          <w:iCs/>
          <w:sz w:val="28"/>
          <w:szCs w:val="28"/>
        </w:rPr>
        <w:t xml:space="preserve">. </w:t>
      </w:r>
      <w:r w:rsidRPr="00A1166F">
        <w:rPr>
          <w:rStyle w:val="c0"/>
          <w:sz w:val="28"/>
          <w:szCs w:val="28"/>
        </w:rPr>
        <w:t>При проведении </w:t>
      </w:r>
      <w:r w:rsidRPr="00A1166F">
        <w:rPr>
          <w:rStyle w:val="c29"/>
          <w:b/>
          <w:bCs/>
          <w:i/>
          <w:iCs/>
          <w:sz w:val="28"/>
          <w:szCs w:val="28"/>
        </w:rPr>
        <w:t>«Брифинга»</w:t>
      </w:r>
      <w:r w:rsidRPr="00A1166F">
        <w:rPr>
          <w:rStyle w:val="c0"/>
          <w:sz w:val="28"/>
          <w:szCs w:val="28"/>
        </w:rPr>
        <w:t>  предлагает воспитателям ознакомиться через дополнительную литературу с различными точками зрения на какую-нибудь проблему. На данных занятиях выслушивается различная информация и позиции по данному вопросу. Литература рекомендуется не вообще по проблеме, а с ориентиром на конкретные позиции авторов.</w:t>
      </w:r>
    </w:p>
    <w:p w:rsidR="00A1166F" w:rsidRPr="00F24230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Style w:val="a3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«Педагогический портфель»</w:t>
      </w:r>
      <w:r w:rsidRPr="00F242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F24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24230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</w:t>
      </w:r>
      <w:proofErr w:type="gramEnd"/>
      <w:r w:rsidRPr="00F242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систематизацию достигнутых результатов и распространение педагогического опыта в социуме, а также повышение имиджа ДОУ.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Выставки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–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ярмарки педагогических идей.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Грамотно подготовленная и проведенная, она стимулирует педагогов к творчеству и самообразованию. Основной результат выставки–ярмарки – заметный профессионально–личностный рост воспитателей. Благодаря этой форме работы с педагогами создаются условия для публичного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представления лучших образцов их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lastRenderedPageBreak/>
        <w:t>профессиональной деятельности, появления новых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идей, установления и расширения деловых и творческих контактов с коллегами.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Банк идей</w:t>
      </w:r>
      <w:r w:rsidRPr="00F24230">
        <w:rPr>
          <w:rFonts w:ascii="Times New Roman" w:eastAsia="TimesNewRoman" w:hAnsi="Times New Roman" w:cs="Times New Roman"/>
          <w:b/>
          <w:sz w:val="28"/>
          <w:szCs w:val="28"/>
        </w:rPr>
        <w:t xml:space="preserve"> –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это рациональный способ коллективного решения проблем, неподдающихся решению традиционными способами на данном этапе. Например: «Экология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игры: как вернуть игру в жизнь детского сада».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«</w:t>
      </w:r>
      <w:proofErr w:type="spellStart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Коучинг</w:t>
      </w:r>
      <w:proofErr w:type="spellEnd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– сессия»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– интерактивное общение, развивающее консультирование,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дискуссия (вопрос – ответ). Принцип «Сделай за меня» практически не действует, здесь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педагог не получает советов и рекомендаций, а только отвечает на вопросы, которые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ему задает консультант, и сам находит и пути для решения проблем. В данном процессе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осуществляется индивидуальная поддержка педагогов, которые ставят перед собой задачу профессионального и личностного роста, повышения персональной эффективности (например, в работе с аттестуемым педагогом).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Метод «Кейсов» (</w:t>
      </w:r>
      <w:proofErr w:type="spellStart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Casestudy</w:t>
      </w:r>
      <w:proofErr w:type="spellEnd"/>
      <w:r w:rsidRPr="00F24230">
        <w:rPr>
          <w:rFonts w:ascii="Times New Roman" w:eastAsia="TimesNewRoman" w:hAnsi="Times New Roman" w:cs="Times New Roman"/>
          <w:b/>
          <w:sz w:val="28"/>
          <w:szCs w:val="28"/>
        </w:rPr>
        <w:t>)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– неигровой метод анализа и решения ситуаций, где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педагоги участвуют в непосредственном обсуждении деловых ситуаций и задач,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взятыхиз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реальной практики. Этот метод, как правило, применяется в процессе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ситуационной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деловой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игры, которая сама по себе также является интерактивным игровым методом 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предполагает развертывание особой (игровой) деятельности педагогов – участников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имитационной модели, воссоздающей условия и динамику образовательного процесса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или сотрудничества с родителями воспитанников.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При использовании метода «Кейсов» все обсуждаемые ситуации делятся на ситуации – иллюстрации, ситуации – упражнения, ситуации – оценки и ситуации – проблемы.</w:t>
      </w:r>
      <w:proofErr w:type="gramEnd"/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Диспут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– предполагает спор, столкновение различных, иногда противоположных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точек зрения. Он требует от сторон убежденности, ясного и определенного взгляда на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предмет спора, умения отстаивать свои доводы. Педсовет в форме диспута представляет собой коллективное размышление на заданную тему, проблему. Вариантом педагогического совета–диспута является решение педагогических ситуаций.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Педагогический ринг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– ориентирует педагогов на изучение новейших исследований в психологии и педагогике, методической литературе, способствует выявлению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различных подходов к решению педагогических проблем, совершенствует навыки логического мышления и аргументации своей позиции, учит лаконичности, четкости,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точности высказываний, развивает находчивость, чувство юмора. Такая форма предусматривает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критерии оценки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ответов, выступлений и действий участников: общая эру-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диция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>, профессиональные знания, умения, навыки; умение выйти из затруднительного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положения, экспромт.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  Педагогическое «ателье» или </w:t>
      </w:r>
      <w:proofErr w:type="gramStart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педагогическая</w:t>
      </w:r>
      <w:proofErr w:type="gramEnd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b/>
          <w:i/>
          <w:sz w:val="28"/>
          <w:szCs w:val="28"/>
        </w:rPr>
        <w:t>гостинная</w:t>
      </w:r>
      <w:proofErr w:type="spellEnd"/>
      <w:r w:rsidRPr="003D2283">
        <w:rPr>
          <w:rFonts w:ascii="Times New Roman" w:eastAsia="TimesNewRoman" w:hAnsi="Times New Roman" w:cs="Times New Roman"/>
          <w:i/>
          <w:sz w:val="28"/>
          <w:szCs w:val="28"/>
        </w:rPr>
        <w:t>.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Цель: педагог знакомит педагогический коллектив с основными идеями своей образовательной системы 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практическими рекомендациями по ее реализации. Также идет выполнение индивидуально–практических заданий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с прицелом на дальнейшее использование их в работе с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детьми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. Например: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«Использование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здоровьесберегающих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технологий в работе с детьми младшего дошкольного возраста».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  «</w:t>
      </w:r>
      <w:proofErr w:type="spellStart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Квик</w:t>
      </w:r>
      <w:proofErr w:type="spellEnd"/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– настройка»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используется с воспитателями перед проведением открытых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мероприятий. Это настрой педагога на успешную работу: «Если вы хотите нравиться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людям – улыбайтесь!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Улыбка – солнечный лучик для опечаленных, противоядие, созданное природой от неприятностей», «Вы самые лучшие и красивые, пусть все манекенщицы мира вам позавидуют», «Есть люди подобно золотой монете: чем дольше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работают, тем дороже ценятся», «Нет лучше любимой подруги, чем любимая работа: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не стареет, и стареть не дает», «Трудности закаляют на пути к счастью».</w:t>
      </w:r>
      <w:proofErr w:type="gramEnd"/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   Круглый стол техника «аквариума».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Его основная задача вырабатывать навыки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критической оценки разных подходов к решению конкретных вопросов в практике работы ДОУ, умению аргументировано отстаивать свою точку зрения, формировать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культуру ведения дискуссии. Темы для круглых столов могут быть разными, но они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обязательно должны содержать в своей формулировке альтернативные элементы.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Например, – «Проблемы взаимодействия общественного и семейного воспитания на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современном этапе», «Дошкольное образовательное учреждение – каким ему быть?»,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«Сила личности воспитателя. В чем она?».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Творческий час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«Золотые россыпи» – работа небольшими коллективами,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где разрабатываются методические рекомендации, модели анализа литературного или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музыкального произведения, план – схемы поиска «к</w:t>
      </w:r>
      <w:r>
        <w:rPr>
          <w:rFonts w:ascii="Times New Roman" w:eastAsia="TimesNewRoman" w:hAnsi="Times New Roman" w:cs="Times New Roman"/>
          <w:sz w:val="28"/>
          <w:szCs w:val="28"/>
        </w:rPr>
        <w:t>лада», внедряются новые нетради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ционные техники рисования.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    Кружки качества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организуются по инициативе администрации, с учетом делегирования полномочий. Ведущий метод – «мозговая атака» или «мозговой штурм». Обязательным условием при организации кружка является наличие педагога, способного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обучать коллег без помощи администрации.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i/>
          <w:sz w:val="28"/>
          <w:szCs w:val="28"/>
        </w:rPr>
        <w:t xml:space="preserve">  </w:t>
      </w:r>
      <w:r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Симпозиум</w:t>
      </w:r>
      <w:r w:rsidRPr="00F24230">
        <w:rPr>
          <w:rFonts w:ascii="Times New Roman" w:eastAsia="TimesNewRoman" w:hAnsi="Times New Roman" w:cs="Times New Roman"/>
          <w:i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– обсуждение, в ходе которого участники выступают с сообщениями, представляющими их точки зрения, после чего отвечают на вопросы аудитории.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Кроме этого, формами методической работы, направленными на развитие компетентности педагогов по реализации ФГОС в дошкольном образовательном учреждении являются: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– организация индивидуальных и групповых консультаций с целью оказания методической помощи педагогам (очень важно получить ответную реакцию от педагогов,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обсуждать именно те вопросы, которые вызывают затруднение);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– организация деятельности «творческой группы»;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– проведение открытых мероприятий, методические объединения по обмену</w:t>
      </w:r>
    </w:p>
    <w:p w:rsidR="00A1166F" w:rsidRPr="003D2283" w:rsidRDefault="00A1166F" w:rsidP="00A116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опытом педагогической деятельности с педагогами региона, района, города (изучение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передового опыта педагогов позволяет решить целый ряд задач, таких как целенаправленное накопление педагогических материалов, анализ результатов деятельности, описание взаимосвязанной работы по определенному н</w:t>
      </w:r>
      <w:r>
        <w:rPr>
          <w:rFonts w:ascii="Times New Roman" w:eastAsia="TimesNewRoman" w:hAnsi="Times New Roman" w:cs="Times New Roman"/>
          <w:sz w:val="28"/>
          <w:szCs w:val="28"/>
        </w:rPr>
        <w:t>аправлению), внедрение новых пе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дагогических идей и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lastRenderedPageBreak/>
        <w:t>методических находок. Здесь происходит знакомство с лучшим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педагогическим опытом, с нестандартными занятиями, выходящими за рамки традиций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и общепринятых стереотипов.</w:t>
      </w:r>
    </w:p>
    <w:p w:rsidR="00A1166F" w:rsidRPr="00A1166F" w:rsidRDefault="00A1166F" w:rsidP="00A1166F">
      <w:pPr>
        <w:pStyle w:val="c1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A1166F">
        <w:rPr>
          <w:rStyle w:val="c15"/>
          <w:b/>
          <w:bCs/>
          <w:i/>
          <w:iCs/>
          <w:sz w:val="28"/>
          <w:szCs w:val="28"/>
        </w:rPr>
        <w:t>«Педагогическая рыбалка»</w:t>
      </w:r>
    </w:p>
    <w:p w:rsidR="00A1166F" w:rsidRPr="00A1166F" w:rsidRDefault="00A1166F" w:rsidP="00A1166F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8"/>
          <w:szCs w:val="28"/>
        </w:rPr>
      </w:pPr>
      <w:r w:rsidRPr="00A1166F">
        <w:rPr>
          <w:rStyle w:val="c0"/>
          <w:sz w:val="28"/>
          <w:szCs w:val="28"/>
        </w:rPr>
        <w:t>Цель: стимулировать интерес к педагогическому поиску, повышать педагогическую компетентность воспитателей по вопросам обучения и воспитания детей дошкольного возраста.</w:t>
      </w:r>
    </w:p>
    <w:p w:rsidR="00A1166F" w:rsidRPr="00A1166F" w:rsidRDefault="00A1166F" w:rsidP="00A1166F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A1166F">
        <w:rPr>
          <w:rStyle w:val="c0"/>
          <w:sz w:val="28"/>
          <w:szCs w:val="28"/>
        </w:rPr>
        <w:t>           Педагогическая рыбалка проводится в три этапа:</w:t>
      </w:r>
    </w:p>
    <w:p w:rsidR="00A1166F" w:rsidRPr="00A1166F" w:rsidRDefault="00A1166F" w:rsidP="00A1166F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A1166F">
        <w:rPr>
          <w:rStyle w:val="c0"/>
          <w:sz w:val="28"/>
          <w:szCs w:val="28"/>
        </w:rPr>
        <w:t>        </w:t>
      </w:r>
      <w:r w:rsidRPr="00A1166F">
        <w:rPr>
          <w:rStyle w:val="c0"/>
          <w:i/>
          <w:iCs/>
          <w:sz w:val="28"/>
          <w:szCs w:val="28"/>
        </w:rPr>
        <w:t>1 этап. </w:t>
      </w:r>
      <w:r w:rsidRPr="00A1166F">
        <w:rPr>
          <w:rStyle w:val="c0"/>
          <w:sz w:val="28"/>
          <w:szCs w:val="28"/>
        </w:rPr>
        <w:t>Педагогам предлагается принять участие в «рыбалке». Каждый педагог с помощью «удочки» вылавливает для себя задание на трафарете рыбки.</w:t>
      </w:r>
    </w:p>
    <w:p w:rsidR="00A1166F" w:rsidRPr="00A1166F" w:rsidRDefault="00A1166F" w:rsidP="00A1166F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A1166F">
        <w:rPr>
          <w:rStyle w:val="c0"/>
          <w:sz w:val="28"/>
          <w:szCs w:val="28"/>
        </w:rPr>
        <w:t>        </w:t>
      </w:r>
      <w:r w:rsidRPr="00A1166F">
        <w:rPr>
          <w:rStyle w:val="c0"/>
          <w:i/>
          <w:iCs/>
          <w:sz w:val="28"/>
          <w:szCs w:val="28"/>
        </w:rPr>
        <w:t>2 этап. </w:t>
      </w:r>
      <w:r w:rsidRPr="00A1166F">
        <w:rPr>
          <w:rStyle w:val="c0"/>
          <w:sz w:val="28"/>
          <w:szCs w:val="28"/>
        </w:rPr>
        <w:t> Используя метод «игрового моделирования» педагогам предлагается объединить свой «улов», ориентируясь на задания – фрагменты, напечатанные на трафаретах рыбок.</w:t>
      </w:r>
    </w:p>
    <w:p w:rsidR="00A1166F" w:rsidRPr="00A1166F" w:rsidRDefault="00A1166F" w:rsidP="00A1166F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A1166F">
        <w:rPr>
          <w:rStyle w:val="c0"/>
          <w:sz w:val="28"/>
          <w:szCs w:val="28"/>
        </w:rPr>
        <w:t>        </w:t>
      </w:r>
      <w:r w:rsidRPr="00A1166F">
        <w:rPr>
          <w:rStyle w:val="c0"/>
          <w:i/>
          <w:iCs/>
          <w:sz w:val="28"/>
          <w:szCs w:val="28"/>
        </w:rPr>
        <w:t>3 этап.</w:t>
      </w:r>
      <w:r w:rsidRPr="00A1166F">
        <w:rPr>
          <w:rStyle w:val="c0"/>
          <w:sz w:val="28"/>
          <w:szCs w:val="28"/>
        </w:rPr>
        <w:t> Разработка и реклама «рыбного блюда» в форме творческой импровизации</w:t>
      </w:r>
    </w:p>
    <w:p w:rsidR="00A1166F" w:rsidRPr="00A1166F" w:rsidRDefault="00A1166F" w:rsidP="00A1166F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i/>
          <w:color w:val="111111"/>
          <w:sz w:val="28"/>
          <w:szCs w:val="28"/>
        </w:rPr>
      </w:pPr>
      <w:r w:rsidRPr="00A1166F">
        <w:rPr>
          <w:rStyle w:val="a3"/>
          <w:i/>
          <w:color w:val="111111"/>
          <w:sz w:val="28"/>
          <w:szCs w:val="28"/>
          <w:bdr w:val="none" w:sz="0" w:space="0" w:color="auto" w:frame="1"/>
        </w:rPr>
        <w:t>Методический фестиваль</w:t>
      </w:r>
      <w:r w:rsidRPr="00A1166F">
        <w:rPr>
          <w:i/>
          <w:color w:val="111111"/>
          <w:sz w:val="28"/>
          <w:szCs w:val="28"/>
        </w:rPr>
        <w:t>.</w:t>
      </w:r>
      <w:r>
        <w:rPr>
          <w:i/>
          <w:color w:val="111111"/>
          <w:sz w:val="28"/>
          <w:szCs w:val="28"/>
        </w:rPr>
        <w:t xml:space="preserve"> </w:t>
      </w:r>
      <w:r w:rsidRPr="00A1166F">
        <w:rPr>
          <w:color w:val="111111"/>
          <w:sz w:val="28"/>
          <w:szCs w:val="28"/>
        </w:rPr>
        <w:t>Данная </w:t>
      </w:r>
      <w:r w:rsidRPr="00A1166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форма методической работы</w:t>
      </w:r>
      <w:r w:rsidRPr="00A1166F">
        <w:rPr>
          <w:color w:val="111111"/>
          <w:sz w:val="28"/>
          <w:szCs w:val="28"/>
        </w:rPr>
        <w:t> предполагает большую аудиторию, ставит целью обмен опытом </w:t>
      </w:r>
      <w:r w:rsidRPr="00A1166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работы</w:t>
      </w:r>
      <w:r w:rsidRPr="00A1166F">
        <w:rPr>
          <w:color w:val="111111"/>
          <w:sz w:val="28"/>
          <w:szCs w:val="28"/>
        </w:rPr>
        <w:t>, внедрение новых </w:t>
      </w:r>
      <w:r w:rsidRPr="00A1166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педагогических идей и методических находок</w:t>
      </w:r>
      <w:r w:rsidRPr="00A1166F">
        <w:rPr>
          <w:color w:val="111111"/>
          <w:sz w:val="28"/>
          <w:szCs w:val="28"/>
        </w:rPr>
        <w:t>.</w:t>
      </w:r>
      <w:r>
        <w:rPr>
          <w:i/>
          <w:color w:val="111111"/>
          <w:sz w:val="28"/>
          <w:szCs w:val="28"/>
        </w:rPr>
        <w:t xml:space="preserve"> </w:t>
      </w:r>
      <w:r w:rsidRPr="00A1166F">
        <w:rPr>
          <w:color w:val="111111"/>
          <w:sz w:val="28"/>
          <w:szCs w:val="28"/>
        </w:rPr>
        <w:t>Здесь происходит знакомство с лучшим </w:t>
      </w:r>
      <w:r w:rsidRPr="00A1166F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педагогическим опытом</w:t>
      </w:r>
      <w:r w:rsidRPr="00A1166F">
        <w:rPr>
          <w:color w:val="111111"/>
          <w:sz w:val="28"/>
          <w:szCs w:val="28"/>
        </w:rPr>
        <w:t>, с нестандартными занятиями, выходящими за рамки традиций и общепринятых стереотипов.</w:t>
      </w:r>
    </w:p>
    <w:p w:rsidR="003D2283" w:rsidRPr="003D2283" w:rsidRDefault="00A1166F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     </w:t>
      </w:r>
      <w:proofErr w:type="gramStart"/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>Наиболее приемлемыми для педагогического коллектива формами методической работы, является</w:t>
      </w:r>
      <w:r w:rsidR="003D2283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proofErr w:type="spellStart"/>
      <w:r w:rsidR="003D2283"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>мультимедийная</w:t>
      </w:r>
      <w:proofErr w:type="spellEnd"/>
      <w:r w:rsidR="003D2283" w:rsidRPr="00F24230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презентация </w:t>
      </w:r>
      <w:r w:rsidR="003D2283" w:rsidRPr="00F24230">
        <w:rPr>
          <w:rFonts w:ascii="Times New Roman" w:eastAsia="TimesNewRoman" w:hAnsi="Times New Roman" w:cs="Times New Roman"/>
          <w:b/>
          <w:sz w:val="28"/>
          <w:szCs w:val="28"/>
        </w:rPr>
        <w:t>–</w:t>
      </w:r>
      <w:r w:rsidR="003D2283" w:rsidRPr="003D2283">
        <w:rPr>
          <w:rFonts w:ascii="Times New Roman" w:eastAsia="TimesNewRoman" w:hAnsi="Times New Roman" w:cs="Times New Roman"/>
          <w:sz w:val="28"/>
          <w:szCs w:val="28"/>
        </w:rPr>
        <w:t xml:space="preserve"> это наглядный вариант лекционного и практического</w:t>
      </w:r>
      <w:proofErr w:type="gramEnd"/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материала, возможность точной, доступной и яркой передачи информации.</w:t>
      </w:r>
    </w:p>
    <w:p w:rsidR="00A1166F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В настоящее время к педагогическому совету, мастер – классу, семинарам, проводимым в детском саду, прилагается презентация в виде слайдов, мини–фильм о работе педагогов с детьми группы.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В связи с последними изменениями в аттестационной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процедуре для педагогов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ДОО стала актуальной и востребованной форма сетевой активности интернет – презентация. Она обязывает наших педагогов к созданию и размещению в сети презентации опыта, проекта.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Повышение качества дошкольного образования находится в прямой зависимости от кадров. Важно отметить, что в современных условиях реформирования образования радикально меняется статус педагога, его образовательные функции, соответственно меняются требования к его профессионально-педагогической компетентности,</w:t>
      </w:r>
      <w:r w:rsidR="00F2423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к уровню его профессионализма. В настоящий момент мы отмечаем, что сегодня</w:t>
      </w:r>
      <w:r w:rsidR="00F2423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востребован педагог творческий, компетентный, способный к развитию умений мобилизовать свой личностный потенциал в современной системе воспитания и развития</w:t>
      </w:r>
      <w:r w:rsidR="00F2423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дошкольника.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lastRenderedPageBreak/>
        <w:t>Использование перечисленных интерактивных форм работы с кадрами обеспечивает эффективность общения педагогов со всеми участниками образовательных</w:t>
      </w:r>
      <w:r w:rsidR="00F2423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3D2283">
        <w:rPr>
          <w:rFonts w:ascii="Times New Roman" w:eastAsia="TimesNewRoman" w:hAnsi="Times New Roman" w:cs="Times New Roman"/>
          <w:sz w:val="28"/>
          <w:szCs w:val="28"/>
        </w:rPr>
        <w:t>отношений, сплачивает коллектив.</w:t>
      </w:r>
    </w:p>
    <w:p w:rsidR="00F24230" w:rsidRDefault="00F24230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i/>
          <w:iCs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i/>
          <w:iCs/>
          <w:sz w:val="28"/>
          <w:szCs w:val="28"/>
        </w:rPr>
        <w:t>Список литературы: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1. Белая К.Ю. Методическая работа в ДОУ: анализ, планирование, формы и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методы. М.: Творческий центр, 2005.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2. Волобуева Л.М.,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Миренко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И.А. Активные методы обучения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в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методической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работе ДОУ // Управление ДОУ. 2006. № 6.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3. Пашкевич Т.Д. Петрусевич В.В. Профессиональная компетентность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педаго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>-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гов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ДОУ. // Управление ДОУ.2010. № 3.</w:t>
      </w:r>
    </w:p>
    <w:p w:rsidR="003D2283" w:rsidRPr="003D2283" w:rsidRDefault="003D2283" w:rsidP="003D22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4. </w:t>
      </w:r>
      <w:proofErr w:type="spellStart"/>
      <w:r w:rsidRPr="003D2283">
        <w:rPr>
          <w:rFonts w:ascii="Times New Roman" w:eastAsia="TimesNewRoman" w:hAnsi="Times New Roman" w:cs="Times New Roman"/>
          <w:sz w:val="28"/>
          <w:szCs w:val="28"/>
        </w:rPr>
        <w:t>Шмонина</w:t>
      </w:r>
      <w:proofErr w:type="spell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Л.В., Зайцева О.И. Инновационные технологии </w:t>
      </w:r>
      <w:proofErr w:type="gramStart"/>
      <w:r w:rsidRPr="003D2283">
        <w:rPr>
          <w:rFonts w:ascii="Times New Roman" w:eastAsia="TimesNewRoman" w:hAnsi="Times New Roman" w:cs="Times New Roman"/>
          <w:sz w:val="28"/>
          <w:szCs w:val="28"/>
        </w:rPr>
        <w:t>в</w:t>
      </w:r>
      <w:proofErr w:type="gramEnd"/>
      <w:r w:rsidRPr="003D2283">
        <w:rPr>
          <w:rFonts w:ascii="Times New Roman" w:eastAsia="TimesNewRoman" w:hAnsi="Times New Roman" w:cs="Times New Roman"/>
          <w:sz w:val="28"/>
          <w:szCs w:val="28"/>
        </w:rPr>
        <w:t xml:space="preserve"> методической</w:t>
      </w:r>
    </w:p>
    <w:p w:rsidR="003D2283" w:rsidRPr="003D2283" w:rsidRDefault="003D2283" w:rsidP="003D2283">
      <w:pPr>
        <w:jc w:val="both"/>
        <w:rPr>
          <w:rFonts w:ascii="Times New Roman" w:hAnsi="Times New Roman" w:cs="Times New Roman"/>
          <w:sz w:val="28"/>
          <w:szCs w:val="28"/>
        </w:rPr>
      </w:pPr>
      <w:r w:rsidRPr="003D2283">
        <w:rPr>
          <w:rFonts w:ascii="Times New Roman" w:eastAsia="TimesNewRoman" w:hAnsi="Times New Roman" w:cs="Times New Roman"/>
          <w:sz w:val="28"/>
          <w:szCs w:val="28"/>
        </w:rPr>
        <w:t>работе ДОУ: планирование, формы работы. – Волгоград: Учитель, 2011.–215с.</w:t>
      </w:r>
    </w:p>
    <w:sectPr w:rsidR="003D2283" w:rsidRPr="003D2283" w:rsidSect="0029516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E2" w:rsidRDefault="000E15E2" w:rsidP="007834CD">
      <w:pPr>
        <w:spacing w:after="0" w:line="240" w:lineRule="auto"/>
      </w:pPr>
      <w:r>
        <w:separator/>
      </w:r>
    </w:p>
  </w:endnote>
  <w:endnote w:type="continuationSeparator" w:id="0">
    <w:p w:rsidR="000E15E2" w:rsidRDefault="000E15E2" w:rsidP="0078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4268"/>
      <w:docPartObj>
        <w:docPartGallery w:val="Page Numbers (Bottom of Page)"/>
        <w:docPartUnique/>
      </w:docPartObj>
    </w:sdtPr>
    <w:sdtContent>
      <w:p w:rsidR="007834CD" w:rsidRDefault="0013439B">
        <w:pPr>
          <w:pStyle w:val="a7"/>
          <w:jc w:val="right"/>
        </w:pPr>
        <w:fldSimple w:instr=" PAGE   \* MERGEFORMAT ">
          <w:r w:rsidR="004D7977">
            <w:rPr>
              <w:noProof/>
            </w:rPr>
            <w:t>1</w:t>
          </w:r>
        </w:fldSimple>
      </w:p>
    </w:sdtContent>
  </w:sdt>
  <w:p w:rsidR="007834CD" w:rsidRDefault="007834C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E2" w:rsidRDefault="000E15E2" w:rsidP="007834CD">
      <w:pPr>
        <w:spacing w:after="0" w:line="240" w:lineRule="auto"/>
      </w:pPr>
      <w:r>
        <w:separator/>
      </w:r>
    </w:p>
  </w:footnote>
  <w:footnote w:type="continuationSeparator" w:id="0">
    <w:p w:rsidR="000E15E2" w:rsidRDefault="000E15E2" w:rsidP="007834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2283"/>
    <w:rsid w:val="000E15E2"/>
    <w:rsid w:val="0013439B"/>
    <w:rsid w:val="00200F96"/>
    <w:rsid w:val="00244914"/>
    <w:rsid w:val="00295167"/>
    <w:rsid w:val="003D2283"/>
    <w:rsid w:val="004D7977"/>
    <w:rsid w:val="007834CD"/>
    <w:rsid w:val="00A1166F"/>
    <w:rsid w:val="00B5046F"/>
    <w:rsid w:val="00F20046"/>
    <w:rsid w:val="00F24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4230"/>
    <w:rPr>
      <w:b/>
      <w:bCs/>
    </w:rPr>
  </w:style>
  <w:style w:type="paragraph" w:customStyle="1" w:styleId="c18">
    <w:name w:val="c18"/>
    <w:basedOn w:val="a"/>
    <w:rsid w:val="00A11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A1166F"/>
  </w:style>
  <w:style w:type="character" w:customStyle="1" w:styleId="c0">
    <w:name w:val="c0"/>
    <w:basedOn w:val="a0"/>
    <w:rsid w:val="00A1166F"/>
  </w:style>
  <w:style w:type="paragraph" w:customStyle="1" w:styleId="c6">
    <w:name w:val="c6"/>
    <w:basedOn w:val="a"/>
    <w:rsid w:val="00A11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A1166F"/>
  </w:style>
  <w:style w:type="paragraph" w:styleId="a4">
    <w:name w:val="Normal (Web)"/>
    <w:basedOn w:val="a"/>
    <w:uiPriority w:val="99"/>
    <w:semiHidden/>
    <w:unhideWhenUsed/>
    <w:rsid w:val="00A11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83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34CD"/>
  </w:style>
  <w:style w:type="paragraph" w:styleId="a7">
    <w:name w:val="footer"/>
    <w:basedOn w:val="a"/>
    <w:link w:val="a8"/>
    <w:uiPriority w:val="99"/>
    <w:unhideWhenUsed/>
    <w:rsid w:val="00783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34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2025-11-13T10:40:00Z</dcterms:created>
  <dcterms:modified xsi:type="dcterms:W3CDTF">2025-11-13T11:30:00Z</dcterms:modified>
</cp:coreProperties>
</file>