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" w:right="80" w:hanging="10"/>
        <w:jc w:val="center"/>
        <w:spacing w:line="259" w:lineRule="auto"/>
      </w:pPr>
      <w:r>
        <w:rPr>
          <w:b/>
        </w:rPr>
        <w:t xml:space="preserve">Басова</w:t>
      </w:r>
      <w:r>
        <w:rPr>
          <w:b/>
        </w:rPr>
        <w:t xml:space="preserve"> А.</w:t>
      </w:r>
      <w:r>
        <w:rPr>
          <w:b/>
        </w:rPr>
        <w:t xml:space="preserve">А</w:t>
      </w:r>
      <w:r>
        <w:rPr>
          <w:b/>
        </w:rPr>
        <w:t xml:space="preserve">., </w:t>
      </w:r>
      <w:r>
        <w:rPr>
          <w:b/>
        </w:rPr>
        <w:t xml:space="preserve">Волкова</w:t>
      </w:r>
      <w:r>
        <w:rPr>
          <w:b/>
        </w:rPr>
        <w:t xml:space="preserve"> </w:t>
      </w:r>
      <w:r>
        <w:rPr>
          <w:b/>
        </w:rPr>
        <w:t xml:space="preserve">Е</w:t>
      </w:r>
      <w:r>
        <w:rPr>
          <w:b/>
        </w:rPr>
        <w:t xml:space="preserve">.В. </w:t>
      </w:r>
      <w:r/>
    </w:p>
    <w:p>
      <w:pPr>
        <w:ind w:right="62" w:firstLine="0"/>
        <w:spacing w:after="61"/>
      </w:pPr>
      <w:r>
        <w:t xml:space="preserve">Уральский филиал Российского государственного университета правосудия г. Челябинск </w:t>
      </w:r>
      <w:r/>
    </w:p>
    <w:p>
      <w:pPr>
        <w:ind w:left="0" w:right="2" w:firstLine="0"/>
        <w:jc w:val="center"/>
        <w:spacing w:line="259" w:lineRule="auto"/>
      </w:pPr>
      <w:r>
        <w:rPr>
          <w:sz w:val="32"/>
        </w:rPr>
        <w:t xml:space="preserve"> </w:t>
      </w:r>
      <w:r/>
    </w:p>
    <w:p>
      <w:pPr>
        <w:pStyle w:val="606"/>
      </w:pPr>
      <w:r>
        <w:t xml:space="preserve">С</w:t>
      </w:r>
      <w:r>
        <w:t xml:space="preserve">АНКЦИИ И ПРАВА ЧЕЛОВЕКА: ПОИСК БАЛАНСА</w:t>
      </w:r>
      <w:r>
        <w:t xml:space="preserve"> </w:t>
      </w:r>
      <w:r/>
    </w:p>
    <w:p>
      <w:pPr>
        <w:ind w:left="0" w:firstLine="0"/>
        <w:jc w:val="right"/>
        <w:spacing w:line="259" w:lineRule="auto"/>
      </w:pPr>
      <w:r>
        <w:rPr>
          <w:i/>
          <w:sz w:val="32"/>
        </w:rPr>
        <w:t xml:space="preserve"> </w:t>
      </w:r>
      <w:r/>
    </w:p>
    <w:p>
      <w:pPr>
        <w:ind w:left="34" w:right="79" w:firstLine="0"/>
        <w:jc w:val="right"/>
        <w:spacing w:after="74" w:line="238" w:lineRule="auto"/>
      </w:pPr>
      <w:r>
        <w:rPr>
          <w:i/>
        </w:rPr>
        <w:t xml:space="preserve">Научный руководитель: </w:t>
      </w:r>
      <w:r>
        <w:rPr>
          <w:i/>
        </w:rPr>
        <w:t xml:space="preserve">Степанова Марина Николаевна</w:t>
      </w:r>
      <w:r>
        <w:rPr>
          <w:i/>
        </w:rPr>
        <w:t xml:space="preserve">, кандидат </w:t>
      </w:r>
      <w:r>
        <w:rPr>
          <w:i/>
        </w:rPr>
        <w:t xml:space="preserve">экономических</w:t>
      </w:r>
      <w:r>
        <w:rPr>
          <w:i/>
        </w:rPr>
        <w:t xml:space="preserve"> наук, доцент, Уральский филиал Российского государственного университета правосудия</w:t>
      </w:r>
      <w:r>
        <w:rPr>
          <w:i/>
          <w:lang w:val="en-US"/>
        </w:rPr>
        <w:t xml:space="preserve"> </w:t>
      </w:r>
      <w:r>
        <w:rPr>
          <w:i/>
          <w:lang w:val="ru-RU"/>
        </w:rPr>
        <w:t xml:space="preserve">им. В.М. Лебедева</w:t>
      </w:r>
      <w:r>
        <w:rPr>
          <w:i/>
        </w:rPr>
        <w:t xml:space="preserve"> (г. Челябинск) </w:t>
      </w:r>
      <w:r/>
    </w:p>
    <w:p>
      <w:pPr>
        <w:ind w:left="567" w:firstLine="0"/>
        <w:jc w:val="left"/>
        <w:spacing w:line="259" w:lineRule="auto"/>
      </w:pPr>
      <w:r>
        <w:rPr>
          <w:sz w:val="32"/>
        </w:rPr>
        <w:t xml:space="preserve"> </w:t>
      </w:r>
      <w:r/>
    </w:p>
    <w:p>
      <w:pPr>
        <w:pStyle w:val="607"/>
      </w:pPr>
      <w:r>
        <w:t xml:space="preserve">Аннотация </w:t>
      </w:r>
      <w:r/>
    </w:p>
    <w:p>
      <w:pPr>
        <w:ind w:left="0" w:right="77" w:firstLine="566"/>
        <w:spacing w:line="238" w:lineRule="auto"/>
      </w:pPr>
      <w:r>
        <w:rPr>
          <w:i/>
        </w:rPr>
        <w:t xml:space="preserve"> </w:t>
      </w:r>
      <w:r>
        <w:rPr>
          <w:i/>
        </w:rPr>
        <w:t xml:space="preserve">В статье исследуется комплексное и зачастую противоречивое влияние международных санкций на соблюдение прав человека в странах-мишенях. </w:t>
      </w:r>
      <w:r>
        <w:rPr>
          <w:i/>
        </w:rPr>
        <w:t xml:space="preserve">А</w:t>
      </w:r>
      <w:r>
        <w:rPr>
          <w:i/>
        </w:rPr>
        <w:t xml:space="preserve">нализиру</w:t>
      </w:r>
      <w:r>
        <w:rPr>
          <w:i/>
        </w:rPr>
        <w:t xml:space="preserve">ю</w:t>
      </w:r>
      <w:r>
        <w:rPr>
          <w:i/>
        </w:rPr>
        <w:t xml:space="preserve">т</w:t>
      </w:r>
      <w:r>
        <w:rPr>
          <w:i/>
        </w:rPr>
        <w:t xml:space="preserve">ся</w:t>
      </w:r>
      <w:r>
        <w:rPr>
          <w:i/>
        </w:rPr>
        <w:t xml:space="preserve"> механизмы, через которые санкции, будучи инструментом </w:t>
      </w:r>
      <w:r>
        <w:rPr>
          <w:i/>
        </w:rPr>
        <w:t xml:space="preserve">политического давления, непреднамеренно усугубляют гуманитарную ситуацию, затрагивая экономические и социальные права гражданского населения. Особое внимание уделяется проблеме «умных» или «таргетированных» санкций, их эффективности и ограничениям. В заклю</w:t>
      </w:r>
      <w:r>
        <w:rPr>
          <w:i/>
        </w:rPr>
        <w:t xml:space="preserve">чение предлагаются пути минимизации негативных последствий, включая совершенствование правовых рамок, расширение гуманитарных изъятий и усиление международного мониторинга, с целью поиска баланса между достижением политических целей и защитой прав человека</w:t>
      </w:r>
      <w:r/>
    </w:p>
    <w:p>
      <w:pPr>
        <w:ind w:left="0" w:firstLine="0"/>
        <w:jc w:val="left"/>
        <w:spacing w:line="259" w:lineRule="auto"/>
      </w:pPr>
      <w:r>
        <w:rPr>
          <w:i/>
        </w:rPr>
        <w:t xml:space="preserve"> </w:t>
      </w:r>
      <w:r/>
    </w:p>
    <w:p>
      <w:pPr>
        <w:ind w:left="-15" w:right="62" w:firstLine="0"/>
      </w:pPr>
      <w:r>
        <w:rPr>
          <w:b/>
        </w:rPr>
        <w:t xml:space="preserve">Ключевые слова:</w:t>
      </w:r>
      <w:r>
        <w:t xml:space="preserve"> </w:t>
      </w:r>
      <w:r>
        <w:t xml:space="preserve">международные санкции, права человека, гуманитарные последствия, гражданское население, таргетированные санкции, гуманитарные изъятия, международное право.</w:t>
      </w:r>
      <w:r/>
    </w:p>
    <w:p>
      <w:pPr>
        <w:ind w:left="567" w:firstLine="0"/>
        <w:jc w:val="left"/>
        <w:spacing w:line="259" w:lineRule="auto"/>
      </w:pPr>
      <w:r>
        <w:t xml:space="preserve"> </w:t>
      </w:r>
      <w:r/>
    </w:p>
    <w:p>
      <w:pPr>
        <w:ind w:left="-15" w:right="62"/>
      </w:pPr>
      <w:r>
        <w:t xml:space="preserve">Санкции стали одним из ключевых инструментов внешней политики и принуждения к соблюдению норм международного права в современном мире. Их цель, как правило, заключается в том, </w:t>
      </w:r>
      <w:r>
        <w:t xml:space="preserve">чтобы изменить поведение целевого государства, не прибегая к военной силе. Однако с возрастанием применения санкционных режимов все острее встает вопрос об их сопутствующем ущербе – негативном воздействии на права человека и благосостояние рядовых граждан.</w:t>
      </w:r>
      <w:r/>
    </w:p>
    <w:p>
      <w:pPr>
        <w:ind w:left="-15" w:right="62"/>
      </w:pPr>
      <w:r>
        <w:t xml:space="preserve">Проблема заключается в фундаментальном противоречии: санкции, призванные защищать международный правопорядок и безопаснос</w:t>
      </w:r>
      <w:r>
        <w:rPr>
          <w:sz w:val="24"/>
          <w:szCs w:val="24"/>
        </w:rPr>
        <w:t xml:space="preserve">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[1]</w:t>
      </w:r>
      <w:r>
        <w:rPr>
          <w:sz w:val="24"/>
          <w:szCs w:val="24"/>
        </w:rPr>
        <w:t xml:space="preserve">, н</w:t>
      </w:r>
      <w:r>
        <w:t xml:space="preserve">а практике часто приводят к эрозии экономических, социальных и культурных прав населения страны-м</w:t>
      </w:r>
      <w:r>
        <w:t xml:space="preserve">ишени, включая право на жизнь, здоровье, питание и адекватный жизненный уровень. Это ставит перед международным сообществом сложную дилемму: как добиваться политических целей, минимизируя гуманитарные издержки и обеспечивая доступ к жизненно важной помощи.</w:t>
      </w:r>
      <w:r/>
    </w:p>
    <w:p>
      <w:pPr>
        <w:ind w:left="-15" w:right="62"/>
      </w:pPr>
      <w:r>
        <w:rPr>
          <w:i/>
          <w:iCs/>
        </w:rPr>
        <w:t xml:space="preserve">Механизмы воздействия санкций на права человека</w:t>
      </w:r>
      <w:r/>
    </w:p>
    <w:p>
      <w:pPr>
        <w:ind w:left="-15" w:right="62"/>
      </w:pPr>
      <w:r>
        <w:t xml:space="preserve">Прямые и косвенные последствия санкций для гражданского населения многогранны и носят системный характер.</w:t>
      </w:r>
      <w:r/>
    </w:p>
    <w:p>
      <w:pPr>
        <w:ind w:left="-15" w:right="62"/>
      </w:pPr>
      <w:r>
        <w:t xml:space="preserve">Всеобъ</w:t>
      </w:r>
      <w:r>
        <w:t xml:space="preserve">емлющие санкции, направленные на ключевые секторы экономики (финансовый, энергетический, торговый), провоцируют глубокий экономический кризис. Это выражается в гиперинфляции, падении ВВП, сокращении бюджетных расходов. В первую очередь страдают социальные </w:t>
      </w:r>
      <w:r>
        <w:t xml:space="preserve">статьи: здравоохранение, образование, социальное обеспечение. Нехватка медикаментов, оборудования и квалифицированных кадров (вследствие «утечки мозгов») подрывает право на здоровье. Снижение доступности продовольствия и рост цен угрожают праву на питание.</w:t>
      </w:r>
      <w:r/>
    </w:p>
    <w:p>
      <w:pPr>
        <w:ind w:left="-15" w:right="62"/>
      </w:pPr>
      <w:r>
        <w:t xml:space="preserve">Даже при наличии формальных гуманитарных изъятий в санкционных режимах, их практическая реализация затруднена. Международные банки и компании, опасаясь </w:t>
      </w:r>
      <w:r>
        <w:t xml:space="preserve">вторичных санкций или обвинений в нарушении режима, зачастую чрезмерно соблюдают ограничения. Это создает серьезные барьеры для финансовых транзакций, поставок гуманитарных товаров и работы неправительственных организаций, парализуя жизненно важную помощь.</w:t>
      </w:r>
      <w:r/>
    </w:p>
    <w:p>
      <w:pPr>
        <w:ind w:left="-15" w:right="62"/>
      </w:pPr>
      <w:r>
        <w:t xml:space="preserve">К тому же, санкции непропорционально сильно воздействуют на наиболее уязвимые группы </w:t>
      </w:r>
      <w:r>
        <w:t xml:space="preserve">населения: бедных, женщин, детей, пожилых людей и меньшинства. В то время как правящие элиты часто находят способы обойти ограничения, средний класс и бедные слои общества несут основное бремя. Это углубляет социальное неравенство и ведет к маргинализации.</w:t>
      </w:r>
      <w:r/>
    </w:p>
    <w:p>
      <w:pPr>
        <w:ind w:left="-15" w:right="62"/>
        <w:rPr>
          <w:bCs/>
          <w:i/>
        </w:rPr>
      </w:pPr>
      <w:r>
        <w:rPr>
          <w:i/>
          <w:iCs/>
        </w:rPr>
        <w:t xml:space="preserve">От всеобъемлющих к «умным» санкциям: попытка решения проблемы</w:t>
      </w:r>
      <w:r>
        <w:rPr>
          <w:i/>
          <w:iCs/>
        </w:rPr>
      </w:r>
    </w:p>
    <w:p>
      <w:pPr>
        <w:ind w:left="-15" w:right="62"/>
      </w:pPr>
      <w:r>
        <w:t xml:space="preserve">Осознание катастрофических гуманитарных последствий всеобъемлющих санкций против Ирака в 1990-х годах привело к сдвигу парадигмы в пользу «умных» или «тар</w:t>
      </w:r>
      <w:r>
        <w:t xml:space="preserve">гетированных» санкций. Их цель – оказать точечное давление на ответственных лиц (лидеров, официальных лиц, связанные с ними предприятия) через замораживание активов, запреты на поездки и эмбарго на поставки оружия, избегая наказания гражданского населения.</w:t>
      </w:r>
      <w:r/>
    </w:p>
    <w:p>
      <w:pPr>
        <w:ind w:left="-15" w:right="62"/>
      </w:pPr>
      <w:r>
        <w:t xml:space="preserve">Однако, как показывает практика (например, санкции против Сирии, Ирана, Венесуэлы, России), даже таргетированные санкции могут иметь широкомасштабные гуманитарны</w:t>
      </w:r>
      <w:r>
        <w:t xml:space="preserve">е последствия. Санкции против ключевых отраслей промышленности, финансовой системы и логистических цепочек де-факто оказывают системное воздействие на всю экономику, воспроизводя, хотя и в меньших масштабах, проблемы, характерные для всеобъемлющих режимов.</w:t>
      </w:r>
      <w:r/>
    </w:p>
    <w:p>
      <w:pPr>
        <w:ind w:left="-15" w:right="62"/>
        <w:rPr>
          <w:bCs/>
          <w:i/>
        </w:rPr>
      </w:pPr>
      <w:r>
        <w:rPr>
          <w:i/>
          <w:iCs/>
        </w:rPr>
        <w:t xml:space="preserve">Поиск баланса: механизмы минимизации ущерба</w:t>
      </w:r>
      <w:r>
        <w:rPr>
          <w:i/>
          <w:iCs/>
        </w:rPr>
      </w:r>
    </w:p>
    <w:p>
      <w:pPr>
        <w:ind w:left="-15" w:right="62"/>
      </w:pPr>
      <w:r>
        <w:t xml:space="preserve">Для решения данной проблемы необходим комплексный подход, интегрирующий защиту прав человека в саму архитектуру санкционных режимов.</w:t>
      </w:r>
      <w:r/>
    </w:p>
    <w:p>
      <w:pPr>
        <w:pStyle w:val="613"/>
        <w:numPr>
          <w:ilvl w:val="0"/>
          <w:numId w:val="5"/>
        </w:numPr>
        <w:ind w:left="0" w:right="62" w:firstLine="708"/>
      </w:pPr>
      <w:r>
        <w:t xml:space="preserve">Совершенствование гуманитарных изъятий. Недостаточно просто прописать изъятия в документах. Необходимо создать четкие, простые и эффективные процедуры для их реализации. Это включает в себя:</w:t>
      </w:r>
      <w:r/>
    </w:p>
    <w:p>
      <w:pPr>
        <w:pStyle w:val="613"/>
        <w:numPr>
          <w:ilvl w:val="0"/>
          <w:numId w:val="6"/>
        </w:numPr>
        <w:ind w:right="62"/>
      </w:pPr>
      <w:r>
        <w:t xml:space="preserve">Общие лицензии: заранее установленные разрешения на определенные виды деятельности (например, поставки продовольствия, медикаментов, деятельность медицинских организаций). </w:t>
      </w:r>
      <w:r/>
    </w:p>
    <w:p>
      <w:pPr>
        <w:pStyle w:val="613"/>
        <w:numPr>
          <w:ilvl w:val="0"/>
          <w:numId w:val="6"/>
        </w:numPr>
        <w:ind w:right="62"/>
      </w:pPr>
      <w:r/>
      <w:r>
        <w:t xml:space="preserve">Ускоренные процедуры лицензирования: создание упрощенных и быстрых механизмов для получения разрешений на гуманитарные операции. </w:t>
      </w:r>
      <w:r/>
      <w:r/>
    </w:p>
    <w:p>
      <w:pPr>
        <w:pStyle w:val="613"/>
        <w:numPr>
          <w:ilvl w:val="0"/>
          <w:numId w:val="6"/>
        </w:numPr>
        <w:ind w:right="62"/>
      </w:pPr>
      <w:r>
        <w:t xml:space="preserve">Правовую определенность: предоставление компаниям и финансовым институтам четких и недвусмысленных разъяснений относительно допустимых гуманитарных операций.</w:t>
      </w:r>
      <w:r/>
      <w:r/>
    </w:p>
    <w:p>
      <w:pPr>
        <w:pStyle w:val="613"/>
        <w:numPr>
          <w:ilvl w:val="0"/>
          <w:numId w:val="5"/>
        </w:numPr>
        <w:ind w:left="0" w:right="62" w:firstLine="708"/>
      </w:pPr>
      <w:r/>
      <w:r>
        <w:t xml:space="preserve">Усиление мониторинга и оценки. Для принятия обоснованных решений необходим независимый и непрерывный мониторинг гуманитарного воздействия санкций. Меж</w:t>
      </w:r>
      <w:r>
        <w:t xml:space="preserve">дународные организации (ООН, Красный Крест), правозащитные НПО и академические институты должны проводить оценку последствий до, во время и после введения санкций. Результаты таких оценок должны оперативно учитываться при корректировке санкционных режимов.</w:t>
      </w:r>
      <w:r/>
    </w:p>
    <w:p>
      <w:pPr>
        <w:pStyle w:val="613"/>
        <w:numPr>
          <w:ilvl w:val="0"/>
          <w:numId w:val="5"/>
        </w:numPr>
        <w:ind w:left="0" w:right="62" w:firstLine="708"/>
      </w:pPr>
      <w:r/>
      <w:r>
        <w:t xml:space="preserve">Политическая ответственность сторон. Страны, вводящие санкции, несут моральную и политическую ответственность за их последствия</w:t>
      </w:r>
      <w:r>
        <w:t xml:space="preserve"> [2</w:t>
      </w:r>
      <w:r>
        <w:rPr>
          <w:lang w:val="en-US"/>
        </w:rPr>
        <w:t xml:space="preserve">]</w:t>
      </w:r>
      <w:r>
        <w:t xml:space="preserve">. Они обязаны активно способствовать беспрепятственному предостав</w:t>
      </w:r>
      <w:r>
        <w:t xml:space="preserve">лению гуманитарной помощи. В свою очередь, правительства стран-мишеней обязаны в соответствии с международным правом использовать все доступные ресурсы для защиты прав своего населения и не создавать искусственных препятствий для гуманитарной деятельности.</w:t>
      </w:r>
      <w:r/>
      <w:r/>
    </w:p>
    <w:p>
      <w:pPr>
        <w:ind w:left="-15" w:right="62"/>
      </w:pPr>
      <w:r>
        <w:t xml:space="preserve">Таким образом, санкции остаются мощным, но несовершенным инс</w:t>
      </w:r>
      <w:r>
        <w:t xml:space="preserve">трументом международной политики. Их применение неизбежно сопряжено с риском нарушения прав человека. Поиск баланса между политической эффективностью и гуманитарными соображениями является не технической задачей, а сложной политической и этической дилеммой</w:t>
      </w:r>
      <w:r>
        <w:t xml:space="preserve"> [3]</w:t>
      </w:r>
      <w:r>
        <w:t xml:space="preserve">.</w:t>
      </w:r>
      <w:r/>
    </w:p>
    <w:p>
      <w:pPr>
        <w:ind w:left="-15" w:right="62"/>
      </w:pPr>
      <w:r>
        <w:t xml:space="preserve">Сдвиг в сторону «умных» санкций был правильным шагом, но он не решил проблему полностью. Дальнейшие усилия должны быть сосредоточены на создании более чувствительных к правам человека санкционных режимов, которые включают в себя</w:t>
      </w:r>
      <w:r>
        <w:t xml:space="preserve"> </w:t>
      </w:r>
      <w:r>
        <w:t xml:space="preserve">механизмы гуманитарных изъятий, прозрачный мониторинг и постоянный диалог между всеми заин</w:t>
      </w:r>
      <w:r>
        <w:t xml:space="preserve">тересованными сторонами. Только так международное сообщество сможет обеспечить, что стремление к безопасности и соблюдению международного права не будет достигаться ценой основных прав и свобод гражданского населения, которое оно, по идее, должно защищать.</w:t>
      </w:r>
      <w:r/>
    </w:p>
    <w:p>
      <w:pPr>
        <w:ind w:left="0" w:firstLine="0"/>
        <w:jc w:val="left"/>
        <w:spacing w:line="259" w:lineRule="auto"/>
      </w:pPr>
      <w:r/>
      <w:r/>
    </w:p>
    <w:p>
      <w:pPr>
        <w:pStyle w:val="606"/>
      </w:pPr>
      <w:r>
        <w:t xml:space="preserve">Литература </w:t>
      </w:r>
      <w:r/>
    </w:p>
    <w:p>
      <w:pPr>
        <w:numPr>
          <w:ilvl w:val="0"/>
          <w:numId w:val="2"/>
        </w:numPr>
        <w:ind w:right="62" w:hanging="240"/>
      </w:pPr>
      <w:r>
        <w:t xml:space="preserve">Бекяшев, Д. К. Санкции в современном международном праве: проблемы легитимности и эффективности / Д. К. Бекяшев // Московский журнал международного права. – 2021. – № 1. – С. 6–22.</w:t>
      </w:r>
      <w:r/>
    </w:p>
    <w:p>
      <w:pPr>
        <w:numPr>
          <w:ilvl w:val="0"/>
          <w:numId w:val="2"/>
        </w:numPr>
        <w:ind w:right="62" w:hanging="240"/>
      </w:pPr>
      <w:r>
        <w:t xml:space="preserve"> </w:t>
      </w:r>
      <w:r>
        <w:t xml:space="preserve">Капустин, А. Я. Международно-правовые санкции</w:t>
      </w:r>
      <w:r>
        <w:t xml:space="preserve"> </w:t>
      </w:r>
      <w:r>
        <w:t xml:space="preserve">/ А. Я. Капустин. – Москва : Юрайт, 2019. – 187 с.</w:t>
      </w:r>
      <w:r/>
    </w:p>
    <w:p>
      <w:pPr>
        <w:numPr>
          <w:ilvl w:val="0"/>
          <w:numId w:val="2"/>
        </w:numPr>
        <w:ind w:right="62" w:hanging="240"/>
      </w:pPr>
      <w:r>
        <w:t xml:space="preserve">Лукашук, И. И. Международное право. Особенная часть [Текст] : учебник / И. И. Лукашук. – 3-е изд., перераб. и доп. – Москва : Волтерс Клувер, 2005. – 517 с.</w:t>
      </w:r>
      <w:r/>
    </w:p>
    <w:sectPr>
      <w:footnotePr/>
      <w:endnotePr/>
      <w:type w:val="nextPage"/>
      <w:pgSz w:w="11900" w:h="16840" w:orient="portrait"/>
      <w:pgMar w:top="1135" w:right="1049" w:bottom="1639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06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64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3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08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80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52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524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96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687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4"/>
        <w:szCs w:val="24"/>
        <w:lang w:val="ru-RU" w:eastAsia="ru-RU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08"/>
    <w:link w:val="606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08"/>
    <w:link w:val="607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5"/>
    <w:next w:val="605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8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5"/>
    <w:next w:val="60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8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5"/>
    <w:next w:val="60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8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5"/>
    <w:next w:val="60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8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5"/>
    <w:next w:val="60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8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5"/>
    <w:next w:val="60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8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5"/>
    <w:next w:val="60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8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5"/>
    <w:next w:val="60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8"/>
    <w:link w:val="33"/>
    <w:uiPriority w:val="10"/>
    <w:rPr>
      <w:sz w:val="48"/>
      <w:szCs w:val="48"/>
    </w:rPr>
  </w:style>
  <w:style w:type="paragraph" w:styleId="35">
    <w:name w:val="Subtitle"/>
    <w:basedOn w:val="605"/>
    <w:next w:val="60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8"/>
    <w:link w:val="35"/>
    <w:uiPriority w:val="11"/>
    <w:rPr>
      <w:sz w:val="24"/>
      <w:szCs w:val="24"/>
    </w:rPr>
  </w:style>
  <w:style w:type="paragraph" w:styleId="37">
    <w:name w:val="Quote"/>
    <w:basedOn w:val="605"/>
    <w:next w:val="60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5"/>
    <w:next w:val="60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8"/>
    <w:link w:val="41"/>
    <w:uiPriority w:val="99"/>
  </w:style>
  <w:style w:type="paragraph" w:styleId="43">
    <w:name w:val="Footer"/>
    <w:basedOn w:val="60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8"/>
    <w:link w:val="43"/>
    <w:uiPriority w:val="99"/>
  </w:style>
  <w:style w:type="paragraph" w:styleId="45">
    <w:name w:val="Caption"/>
    <w:basedOn w:val="605"/>
    <w:next w:val="6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bfe4f4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c2e6f5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c2e6f5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19749a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196c2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bfe4f4" w:themeFill="accent1" w:themeFillTint="34"/>
    </w:tblPr>
    <w:tblStylePr w:type="band1Horz">
      <w:tcPr>
        <w:shd w:val="clear" w:color="ffffff" w:themeColor="accent1" w:themeTint="75" w:fill="70c4e7" w:themeFill="accent1" w:themeFillTint="75"/>
      </w:tcPr>
    </w:tblStylePr>
    <w:tblStylePr w:type="band1Vert">
      <w:tcPr>
        <w:shd w:val="clear" w:color="ffffff" w:themeColor="accent1" w:themeTint="75" w:fill="70c4e7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ae2d7" w:themeFill="accent2" w:themeFillTint="32"/>
    </w:tblPr>
    <w:tblStylePr w:type="band1Horz">
      <w:tcPr>
        <w:shd w:val="clear" w:color="ffffff" w:themeColor="accent2" w:themeTint="75" w:fill="f4bca1" w:themeFill="accent2" w:themeFillTint="75"/>
      </w:tcPr>
    </w:tblStylePr>
    <w:tblStylePr w:type="band1Vert">
      <w:tcPr>
        <w:shd w:val="clear" w:color="ffffff" w:themeColor="accent2" w:themeTint="75" w:fill="f4bc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bff0c5" w:themeFill="accent3" w:themeFillTint="34"/>
    </w:tblPr>
    <w:tblStylePr w:type="band1Horz">
      <w:tcPr>
        <w:shd w:val="clear" w:color="ffffff" w:themeColor="accent3" w:themeTint="75" w:fill="72dd7e" w:themeFill="accent3" w:themeFillTint="75"/>
      </w:tcPr>
    </w:tblStylePr>
    <w:tblStylePr w:type="band1Vert">
      <w:tcPr>
        <w:shd w:val="clear" w:color="ffffff" w:themeColor="accent3" w:themeTint="75" w:fill="72dd7e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8edfb" w:themeFill="accent4" w:themeFillTint="34"/>
    </w:tblPr>
    <w:tblStylePr w:type="band1Horz">
      <w:tcPr>
        <w:shd w:val="clear" w:color="ffffff" w:themeColor="accent4" w:themeTint="75" w:fill="85d7f6" w:themeFill="accent4" w:themeFillTint="75"/>
      </w:tcPr>
    </w:tblStylePr>
    <w:tblStylePr w:type="band1Vert">
      <w:tcPr>
        <w:shd w:val="clear" w:color="ffffff" w:themeColor="accent4" w:themeTint="75" w:fill="85d7f6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1ceed" w:themeFill="accent5" w:themeFillTint="34"/>
    </w:tblPr>
    <w:tblStylePr w:type="band1Horz">
      <w:tcPr>
        <w:shd w:val="clear" w:color="ffffff" w:themeColor="accent5" w:themeTint="75" w:fill="e08fd8" w:themeFill="accent5" w:themeFillTint="75"/>
      </w:tcPr>
    </w:tblStylePr>
    <w:tblStylePr w:type="band1Vert">
      <w:tcPr>
        <w:shd w:val="clear" w:color="ffffff" w:themeColor="accent5" w:themeTint="75" w:fill="e08fd8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1d0" w:themeFill="accent6" w:themeFillTint="34"/>
    </w:tblPr>
    <w:tblStylePr w:type="band1Horz">
      <w:tcPr>
        <w:shd w:val="clear" w:color="ffffff" w:themeColor="accent6" w:themeTint="75" w:fill="aae194" w:themeFill="accent6" w:themeFillTint="75"/>
      </w:tcPr>
    </w:tblStylePr>
    <w:tblStylePr w:type="band1Vert">
      <w:tcPr>
        <w:shd w:val="clear" w:color="ffffff" w:themeColor="accent6" w:themeTint="75" w:fill="aae194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tcPr>
        <w:shd w:val="clear" w:color="ffffff" w:themeColor="accent1" w:themeTint="34" w:fill="bfe4f4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1b7ca4" w:themeColor="accent1" w:themeTint="80" w:themeShade="95"/>
      </w:rPr>
    </w:tblStylePr>
    <w:tblStylePr w:type="firstRow">
      <w:rPr>
        <w:b/>
        <w:color w:val="1b7ca4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ca4" w:themeColor="accent1" w:themeTint="80" w:themeShade="95"/>
      </w:rPr>
    </w:tblStylePr>
    <w:tblStylePr w:type="lastRow">
      <w:rPr>
        <w:b/>
        <w:color w:val="1b7ca4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tcPr>
        <w:shd w:val="clear" w:color="ffffff" w:themeColor="accent2" w:themeTint="32" w:fill="fae2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34f16" w:themeColor="accent2" w:themeTint="97" w:themeShade="95"/>
      </w:rPr>
    </w:tblStylePr>
    <w:tblStylePr w:type="firstRow">
      <w:rPr>
        <w:b/>
        <w:color w:val="c34f16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34f16" w:themeColor="accent2" w:themeTint="97" w:themeShade="95"/>
      </w:rPr>
    </w:tblStylePr>
    <w:tblStylePr w:type="lastRow">
      <w:rPr>
        <w:b/>
        <w:color w:val="c34f16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tcPr>
        <w:shd w:val="clear" w:color="ffffff" w:themeColor="accent3" w:themeTint="34" w:fill="bff0c5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0e3f14" w:themeColor="accent3" w:themeTint="FE" w:themeShade="95"/>
      </w:rPr>
    </w:tblStylePr>
    <w:tblStylePr w:type="firstRow">
      <w:rPr>
        <w:b/>
        <w:color w:val="0e3f14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e3f14" w:themeColor="accent3" w:themeTint="FE" w:themeShade="95"/>
      </w:rPr>
    </w:tblStylePr>
    <w:tblStylePr w:type="lastRow">
      <w:rPr>
        <w:b/>
        <w:color w:val="0e3f14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tcPr>
        <w:shd w:val="clear" w:color="ffffff" w:themeColor="accent4" w:themeTint="34" w:fill="c8edf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0d8ab8" w:themeColor="accent4" w:themeTint="9A" w:themeShade="95"/>
      </w:rPr>
    </w:tblStylePr>
    <w:tblStylePr w:type="firstRow">
      <w:rPr>
        <w:b/>
        <w:color w:val="0d8ab8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8" w:themeColor="accent4" w:themeTint="9A" w:themeShade="95"/>
      </w:rPr>
    </w:tblStylePr>
    <w:tblStylePr w:type="lastRow">
      <w:rPr>
        <w:b/>
        <w:color w:val="0d8ab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tcPr>
        <w:shd w:val="clear" w:color="ffffff" w:themeColor="accent5" w:themeTint="34" w:fill="f1ceed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5c1955" w:themeColor="accent5" w:themeShade="95"/>
      </w:rPr>
    </w:tblStylePr>
    <w:tblStylePr w:type="firstRow">
      <w:rPr>
        <w:b/>
        <w:color w:val="5c1955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c1955" w:themeColor="accent5" w:themeShade="95"/>
      </w:rPr>
    </w:tblStylePr>
    <w:tblStylePr w:type="lastRow">
      <w:rPr>
        <w:b/>
        <w:color w:val="5c195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tcPr>
        <w:shd w:val="clear" w:color="ffffff" w:themeColor="accent6" w:themeTint="34" w:fill="d9f1d0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5c1955" w:themeColor="accent5" w:themeShade="95"/>
      </w:rPr>
    </w:tblStylePr>
    <w:tblStylePr w:type="firstRow">
      <w:rPr>
        <w:b/>
        <w:color w:val="5c1955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c1955" w:themeColor="accent5" w:themeShade="95"/>
      </w:rPr>
    </w:tblStylePr>
    <w:tblStylePr w:type="lastRow">
      <w:rPr>
        <w:b/>
        <w:color w:val="5c1955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1b7ca4" w:themeColor="accent1" w:themeTint="80" w:themeShade="95"/>
        <w:sz w:val="22"/>
      </w:rPr>
      <w:tcPr>
        <w:shd w:val="clear" w:color="ffffff" w:themeColor="accent1" w:themeTint="34" w:fill="bfe4f4" w:themeFill="accent1" w:themeFillTint="34"/>
      </w:tcPr>
    </w:tblStylePr>
    <w:tblStylePr w:type="band1Vert">
      <w:tcPr>
        <w:shd w:val="clear" w:color="ffffff" w:themeColor="accent1" w:themeTint="34" w:fill="bfe4f4" w:themeFill="accent1" w:themeFillTint="34"/>
      </w:tcPr>
    </w:tblStylePr>
    <w:tblStylePr w:type="band2Horz">
      <w:rPr>
        <w:rFonts w:ascii="Arial" w:hAnsi="Arial"/>
        <w:color w:val="1b7ca4" w:themeColor="accent1" w:themeTint="80" w:themeShade="95"/>
        <w:sz w:val="22"/>
      </w:rPr>
    </w:tblStylePr>
    <w:tblStylePr w:type="firstCol">
      <w:rPr>
        <w:rFonts w:ascii="Arial" w:hAnsi="Arial"/>
        <w:i/>
        <w:color w:val="1b7ca4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ca4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1b7ca4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b7ca4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34f16" w:themeColor="accent2" w:themeTint="97" w:themeShade="95"/>
        <w:sz w:val="22"/>
      </w:rPr>
      <w:tcPr>
        <w:shd w:val="clear" w:color="ffffff" w:themeColor="accent2" w:themeTint="32" w:fill="fae2d7" w:themeFill="accent2" w:themeFillTint="32"/>
      </w:tcPr>
    </w:tblStylePr>
    <w:tblStylePr w:type="band1Vert">
      <w:tcPr>
        <w:shd w:val="clear" w:color="ffffff" w:themeColor="accent2" w:themeTint="32" w:fill="fae2d7" w:themeFill="accent2" w:themeFillTint="32"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0e3f14" w:themeColor="accent3" w:themeTint="FE" w:themeShade="95"/>
        <w:sz w:val="22"/>
      </w:rPr>
      <w:tcPr>
        <w:shd w:val="clear" w:color="ffffff" w:themeColor="accent3" w:themeTint="34" w:fill="bff0c5" w:themeFill="accent3" w:themeFillTint="34"/>
      </w:tcPr>
    </w:tblStylePr>
    <w:tblStylePr w:type="band1Vert">
      <w:tcPr>
        <w:shd w:val="clear" w:color="ffffff" w:themeColor="accent3" w:themeTint="34" w:fill="bff0c5" w:themeFill="accent3" w:themeFillTint="34"/>
      </w:tcPr>
    </w:tblStylePr>
    <w:tblStylePr w:type="band2Horz">
      <w:rPr>
        <w:rFonts w:ascii="Arial" w:hAnsi="Arial"/>
        <w:color w:val="0e3f14" w:themeColor="accent3" w:themeTint="FE" w:themeShade="95"/>
        <w:sz w:val="22"/>
      </w:rPr>
    </w:tblStylePr>
    <w:tblStylePr w:type="firstCol">
      <w:rPr>
        <w:rFonts w:ascii="Arial" w:hAnsi="Arial"/>
        <w:i/>
        <w:color w:val="0e3f14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e3f14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0e3f14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e3f14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0d8ab8" w:themeColor="accent4" w:themeTint="9A" w:themeShade="95"/>
        <w:sz w:val="22"/>
      </w:rPr>
      <w:tcPr>
        <w:shd w:val="clear" w:color="ffffff" w:themeColor="accent4" w:themeTint="34" w:fill="c8edfb" w:themeFill="accent4" w:themeFillTint="34"/>
      </w:tcPr>
    </w:tblStylePr>
    <w:tblStylePr w:type="band1Vert">
      <w:tcPr>
        <w:shd w:val="clear" w:color="ffffff" w:themeColor="accent4" w:themeTint="34" w:fill="c8edfb" w:themeFill="accent4" w:themeFillTint="34"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5c1955" w:themeColor="accent5" w:themeShade="95"/>
        <w:sz w:val="22"/>
      </w:rPr>
      <w:tcPr>
        <w:shd w:val="clear" w:color="ffffff" w:themeColor="accent5" w:themeTint="34" w:fill="f1ceed" w:themeFill="accent5" w:themeFillTint="34"/>
      </w:tcPr>
    </w:tblStylePr>
    <w:tblStylePr w:type="band1Vert">
      <w:tcPr>
        <w:shd w:val="clear" w:color="ffffff" w:themeColor="accent5" w:themeTint="34" w:fill="f1ceed" w:themeFill="accent5" w:themeFillTint="34"/>
      </w:tcPr>
    </w:tblStylePr>
    <w:tblStylePr w:type="band2Horz">
      <w:rPr>
        <w:rFonts w:ascii="Arial" w:hAnsi="Arial"/>
        <w:color w:val="5c1955" w:themeColor="accent5" w:themeShade="95"/>
        <w:sz w:val="22"/>
      </w:rPr>
    </w:tblStylePr>
    <w:tblStylePr w:type="firstCol">
      <w:rPr>
        <w:rFonts w:ascii="Arial" w:hAnsi="Arial"/>
        <w:i/>
        <w:color w:val="5c1955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c1955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5c1955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1955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2e611a" w:themeColor="accent6" w:themeShade="95"/>
        <w:sz w:val="22"/>
      </w:rPr>
      <w:tcPr>
        <w:shd w:val="clear" w:color="ffffff" w:themeColor="accent6" w:themeTint="34" w:fill="d9f1d0" w:themeFill="accent6" w:themeFillTint="34"/>
      </w:tcPr>
    </w:tblStylePr>
    <w:tblStylePr w:type="band1Vert">
      <w:tcPr>
        <w:shd w:val="clear" w:color="ffffff" w:themeColor="accent6" w:themeTint="34" w:fill="d9f1d0" w:themeFill="accent6" w:themeFillTint="34"/>
      </w:tcPr>
    </w:tblStylePr>
    <w:tblStylePr w:type="band2Horz">
      <w:rPr>
        <w:rFonts w:ascii="Arial" w:hAnsi="Arial"/>
        <w:color w:val="2e611a" w:themeColor="accent6" w:themeShade="95"/>
        <w:sz w:val="22"/>
      </w:rPr>
    </w:tblStylePr>
    <w:tblStylePr w:type="firstCol">
      <w:rPr>
        <w:rFonts w:ascii="Arial" w:hAnsi="Arial"/>
        <w:i/>
        <w:color w:val="2e611a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11a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2e611a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e611a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47d458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d76cc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90d873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b1dff2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156082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9daca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9713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b2edb9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196b24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bde9fa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0f9ed5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eec1e9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a02b93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0eec5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ea72e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blStylePr w:type="band1Horz"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1a884" w:themeFill="accent2" w:themeFillTint="97"/>
    </w:tblPr>
    <w:tblStylePr w:type="band1Horz"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1a88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1a88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1a88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7d458" w:themeFill="accent3" w:themeFillTint="98"/>
    </w:tblPr>
    <w:tblStylePr w:type="band1Horz"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47d458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47d458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47d458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3" w:themeFill="accent4" w:themeFillTint="9A"/>
    </w:tblPr>
    <w:tblStylePr w:type="band1Horz"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60cbf3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60cbf3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60cbf3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76ccb" w:themeFill="accent5" w:themeFillTint="9A"/>
    </w:tblPr>
    <w:tblStylePr w:type="band1Horz"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d76cc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d76cc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d76cc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0d873" w:themeFill="accent6" w:themeFillTint="98"/>
    </w:tblPr>
    <w:tblStylePr w:type="band1Horz"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90d873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90d873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90d873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0c394b" w:themeColor="accent1" w:themeShade="95"/>
      </w:rPr>
    </w:tblStylePr>
    <w:tblStylePr w:type="firstRow">
      <w:rPr>
        <w:b/>
        <w:color w:val="0c394b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94b" w:themeColor="accent1" w:themeShade="95"/>
      </w:rPr>
    </w:tblStylePr>
    <w:tblStylePr w:type="lastRow">
      <w:rPr>
        <w:b/>
        <w:color w:val="0c394b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34f16" w:themeColor="accent2" w:themeTint="97" w:themeShade="95"/>
      </w:rPr>
    </w:tblStylePr>
    <w:tblStylePr w:type="firstRow">
      <w:rPr>
        <w:b/>
        <w:color w:val="c34f16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34f16" w:themeColor="accent2" w:themeTint="97" w:themeShade="95"/>
      </w:rPr>
    </w:tblStylePr>
    <w:tblStylePr w:type="lastRow">
      <w:rPr>
        <w:b/>
        <w:color w:val="c34f16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1f842b" w:themeColor="accent3" w:themeTint="98" w:themeShade="95"/>
      </w:rPr>
    </w:tblStylePr>
    <w:tblStylePr w:type="firstRow">
      <w:rPr>
        <w:b/>
        <w:color w:val="1f842b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1f842b" w:themeColor="accent3" w:themeTint="98" w:themeShade="95"/>
      </w:rPr>
    </w:tblStylePr>
    <w:tblStylePr w:type="lastRow">
      <w:rPr>
        <w:b/>
        <w:color w:val="1f842b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0d8ab8" w:themeColor="accent4" w:themeTint="9A" w:themeShade="95"/>
      </w:rPr>
    </w:tblStylePr>
    <w:tblStylePr w:type="firstRow">
      <w:rPr>
        <w:b/>
        <w:color w:val="0d8ab8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8" w:themeColor="accent4" w:themeTint="9A" w:themeShade="95"/>
      </w:rPr>
    </w:tblStylePr>
    <w:tblStylePr w:type="lastRow">
      <w:rPr>
        <w:b/>
        <w:color w:val="0d8ab8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932888" w:themeColor="accent5" w:themeTint="9A" w:themeShade="95"/>
      </w:rPr>
    </w:tblStylePr>
    <w:tblStylePr w:type="firstRow">
      <w:rPr>
        <w:b/>
        <w:color w:val="932888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32888" w:themeColor="accent5" w:themeTint="9A" w:themeShade="95"/>
      </w:rPr>
    </w:tblStylePr>
    <w:tblStylePr w:type="lastRow">
      <w:rPr>
        <w:b/>
        <w:color w:val="932888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4b952a" w:themeColor="accent6" w:themeTint="98" w:themeShade="95"/>
      </w:rPr>
    </w:tblStylePr>
    <w:tblStylePr w:type="firstRow">
      <w:rPr>
        <w:b/>
        <w:color w:val="4b952a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b952a" w:themeColor="accent6" w:themeTint="98" w:themeShade="95"/>
      </w:rPr>
    </w:tblStylePr>
    <w:tblStylePr w:type="lastRow">
      <w:rPr>
        <w:b/>
        <w:color w:val="4b952a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0c394b" w:themeColor="accent1" w:themeShade="95"/>
        <w:sz w:val="22"/>
      </w:rPr>
      <w:tcPr>
        <w:shd w:val="clear" w:color="ffffff" w:themeColor="accent1" w:themeTint="40" w:fill="b1dff2" w:themeFill="accent1" w:themeFillTint="40"/>
      </w:tcPr>
    </w:tblStylePr>
    <w:tblStylePr w:type="band1Vert">
      <w:tcPr>
        <w:shd w:val="clear" w:color="ffffff" w:themeColor="accent1" w:themeTint="40" w:fill="b1dff2" w:themeFill="accent1" w:themeFillTint="40"/>
      </w:tcPr>
    </w:tblStylePr>
    <w:tblStylePr w:type="band2Horz">
      <w:rPr>
        <w:rFonts w:ascii="Arial" w:hAnsi="Arial"/>
        <w:color w:val="0c394b" w:themeColor="accent1" w:themeShade="95"/>
        <w:sz w:val="22"/>
      </w:rPr>
    </w:tblStylePr>
    <w:tblStylePr w:type="firstCol">
      <w:rPr>
        <w:rFonts w:ascii="Arial" w:hAnsi="Arial"/>
        <w:i/>
        <w:color w:val="0c394b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94b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0c394b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c394b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0c394b" w:themeColor="accent1" w:themeShade="95"/>
        <w:sz w:val="22"/>
      </w:rPr>
    </w:tblStylePr>
  </w:style>
  <w:style w:type="table" w:styleId="147">
    <w:name w:val="List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34f16" w:themeColor="accent2" w:themeTint="97" w:themeShade="95"/>
        <w:sz w:val="22"/>
      </w:rPr>
      <w:tcPr>
        <w:shd w:val="clear" w:color="ffffff" w:themeColor="accent2" w:themeTint="40" w:fill="f9daca" w:themeFill="accent2" w:themeFillTint="40"/>
      </w:tcPr>
    </w:tblStylePr>
    <w:tblStylePr w:type="band1Vert">
      <w:tcPr>
        <w:shd w:val="clear" w:color="ffffff" w:themeColor="accent2" w:themeTint="40" w:fill="f9daca" w:themeFill="accent2" w:themeFillTint="40"/>
      </w:tcPr>
    </w:tblStylePr>
    <w:tblStylePr w:type="band2Horz">
      <w:rPr>
        <w:rFonts w:ascii="Arial" w:hAnsi="Arial"/>
        <w:color w:val="c34f16" w:themeColor="accent2" w:themeTint="97" w:themeShade="95"/>
        <w:sz w:val="22"/>
      </w:rPr>
    </w:tblStylePr>
    <w:tblStylePr w:type="firstCol">
      <w:rPr>
        <w:rFonts w:ascii="Arial" w:hAnsi="Arial"/>
        <w:i/>
        <w:color w:val="c34f16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34f16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34f16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34f16" w:themeColor="accent2" w:themeTint="97" w:themeShade="95"/>
        <w:sz w:val="22"/>
      </w:rPr>
    </w:tblStylePr>
  </w:style>
  <w:style w:type="table" w:styleId="148">
    <w:name w:val="List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1f842b" w:themeColor="accent3" w:themeTint="98" w:themeShade="95"/>
        <w:sz w:val="22"/>
      </w:rPr>
      <w:tcPr>
        <w:shd w:val="clear" w:color="ffffff" w:themeColor="accent3" w:themeTint="40" w:fill="b2edb9" w:themeFill="accent3" w:themeFillTint="40"/>
      </w:tcPr>
    </w:tblStylePr>
    <w:tblStylePr w:type="band1Vert">
      <w:tcPr>
        <w:shd w:val="clear" w:color="ffffff" w:themeColor="accent3" w:themeTint="40" w:fill="b2edb9" w:themeFill="accent3" w:themeFillTint="40"/>
      </w:tcPr>
    </w:tblStylePr>
    <w:tblStylePr w:type="band2Horz">
      <w:rPr>
        <w:rFonts w:ascii="Arial" w:hAnsi="Arial"/>
        <w:color w:val="1f842b" w:themeColor="accent3" w:themeTint="98" w:themeShade="95"/>
        <w:sz w:val="22"/>
      </w:rPr>
    </w:tblStylePr>
    <w:tblStylePr w:type="firstCol">
      <w:rPr>
        <w:rFonts w:ascii="Arial" w:hAnsi="Arial"/>
        <w:i/>
        <w:color w:val="1f842b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1f842b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1f842b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1f842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1f842b" w:themeColor="accent3" w:themeTint="98" w:themeShade="95"/>
        <w:sz w:val="22"/>
      </w:rPr>
    </w:tblStylePr>
  </w:style>
  <w:style w:type="table" w:styleId="149">
    <w:name w:val="List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0d8ab8" w:themeColor="accent4" w:themeTint="9A" w:themeShade="95"/>
        <w:sz w:val="22"/>
      </w:rPr>
      <w:tcPr>
        <w:shd w:val="clear" w:color="ffffff" w:themeColor="accent4" w:themeTint="40" w:fill="bde9fa" w:themeFill="accent4" w:themeFillTint="40"/>
      </w:tcPr>
    </w:tblStylePr>
    <w:tblStylePr w:type="band1Vert">
      <w:tcPr>
        <w:shd w:val="clear" w:color="ffffff" w:themeColor="accent4" w:themeTint="40" w:fill="bde9fa" w:themeFill="accent4" w:themeFillTint="40"/>
      </w:tcPr>
    </w:tblStylePr>
    <w:tblStylePr w:type="band2Horz">
      <w:rPr>
        <w:rFonts w:ascii="Arial" w:hAnsi="Arial"/>
        <w:color w:val="0d8ab8" w:themeColor="accent4" w:themeTint="9A" w:themeShade="95"/>
        <w:sz w:val="22"/>
      </w:rPr>
    </w:tblStylePr>
    <w:tblStylePr w:type="firstCol">
      <w:rPr>
        <w:rFonts w:ascii="Arial" w:hAnsi="Arial"/>
        <w:i/>
        <w:color w:val="0d8ab8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0d8ab8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d8ab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0d8ab8" w:themeColor="accent4" w:themeTint="9A" w:themeShade="95"/>
        <w:sz w:val="22"/>
      </w:rPr>
    </w:tblStylePr>
  </w:style>
  <w:style w:type="table" w:styleId="150">
    <w:name w:val="List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932888" w:themeColor="accent5" w:themeTint="9A" w:themeShade="95"/>
        <w:sz w:val="22"/>
      </w:rPr>
      <w:tcPr>
        <w:shd w:val="clear" w:color="ffffff" w:themeColor="accent5" w:themeTint="40" w:fill="eec1e9" w:themeFill="accent5" w:themeFillTint="40"/>
      </w:tcPr>
    </w:tblStylePr>
    <w:tblStylePr w:type="band1Vert">
      <w:tcPr>
        <w:shd w:val="clear" w:color="ffffff" w:themeColor="accent5" w:themeTint="40" w:fill="eec1e9" w:themeFill="accent5" w:themeFillTint="40"/>
      </w:tcPr>
    </w:tblStylePr>
    <w:tblStylePr w:type="band2Horz">
      <w:rPr>
        <w:rFonts w:ascii="Arial" w:hAnsi="Arial"/>
        <w:color w:val="932888" w:themeColor="accent5" w:themeTint="9A" w:themeShade="95"/>
        <w:sz w:val="22"/>
      </w:rPr>
    </w:tblStylePr>
    <w:tblStylePr w:type="firstCol">
      <w:rPr>
        <w:rFonts w:ascii="Arial" w:hAnsi="Arial"/>
        <w:i/>
        <w:color w:val="932888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32888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932888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32888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32888" w:themeColor="accent5" w:themeTint="9A" w:themeShade="95"/>
        <w:sz w:val="22"/>
      </w:rPr>
    </w:tblStylePr>
  </w:style>
  <w:style w:type="table" w:styleId="151">
    <w:name w:val="List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b952a" w:themeColor="accent6" w:themeTint="98" w:themeShade="95"/>
        <w:sz w:val="22"/>
      </w:rPr>
      <w:tcPr>
        <w:shd w:val="clear" w:color="ffffff" w:themeColor="accent6" w:themeTint="40" w:fill="d0eec5" w:themeFill="accent6" w:themeFillTint="40"/>
      </w:tcPr>
    </w:tblStylePr>
    <w:tblStylePr w:type="band1Vert">
      <w:tcPr>
        <w:shd w:val="clear" w:color="ffffff" w:themeColor="accent6" w:themeTint="40" w:fill="d0eec5" w:themeFill="accent6" w:themeFillTint="40"/>
      </w:tcPr>
    </w:tblStylePr>
    <w:tblStylePr w:type="band2Horz">
      <w:rPr>
        <w:rFonts w:ascii="Arial" w:hAnsi="Arial"/>
        <w:color w:val="4b952a" w:themeColor="accent6" w:themeTint="98" w:themeShade="95"/>
        <w:sz w:val="22"/>
      </w:rPr>
    </w:tblStylePr>
    <w:tblStylePr w:type="firstCol">
      <w:rPr>
        <w:rFonts w:ascii="Arial" w:hAnsi="Arial"/>
        <w:i/>
        <w:color w:val="4b952a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b952a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4b952a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b952a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b952a" w:themeColor="accent6" w:themeTint="98" w:themeShade="95"/>
        <w:sz w:val="22"/>
      </w:rPr>
    </w:tblStylePr>
  </w:style>
  <w:style w:type="table" w:styleId="152">
    <w:name w:val="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</w:style>
  <w:style w:type="table" w:styleId="154">
    <w:name w:val="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</w:style>
  <w:style w:type="table" w:styleId="155">
    <w:name w:val="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</w:style>
  <w:style w:type="table" w:styleId="156">
    <w:name w:val="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</w:style>
  <w:style w:type="table" w:styleId="157">
    <w:name w:val="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</w:style>
  <w:style w:type="table" w:styleId="158">
    <w:name w:val="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</w:style>
  <w:style w:type="table" w:styleId="159">
    <w:name w:val="Bordered &amp; 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9ed7e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19749a" w:themeFill="accent1" w:themeFillTint="EA"/>
      </w:tcPr>
    </w:tblStylePr>
  </w:style>
  <w:style w:type="table" w:styleId="161">
    <w:name w:val="Bordered &amp; 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ae2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1a884" w:themeFill="accent2" w:themeFillTint="97"/>
      </w:tcPr>
    </w:tblStylePr>
  </w:style>
  <w:style w:type="table" w:styleId="162">
    <w:name w:val="Bordered &amp; 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bff0c5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196c23" w:themeFill="accent3" w:themeFillTint="FE"/>
      </w:tcPr>
    </w:tblStylePr>
  </w:style>
  <w:style w:type="table" w:styleId="163">
    <w:name w:val="Bordered &amp; 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c8edf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60cbf3" w:themeFill="accent4" w:themeFillTint="9A"/>
      </w:tcPr>
    </w:tblStylePr>
  </w:style>
  <w:style w:type="table" w:styleId="164">
    <w:name w:val="Bordered &amp; 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f1ceed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a02b93" w:themeFill="accent5"/>
      </w:tcPr>
    </w:tblStylePr>
  </w:style>
  <w:style w:type="table" w:styleId="165">
    <w:name w:val="Bordered &amp; 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9f1d0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ea72e" w:themeFill="accent6"/>
      </w:tcPr>
    </w:tblStylePr>
  </w:style>
  <w:style w:type="table" w:styleId="166">
    <w:name w:val="Bordered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8"/>
    <w:uiPriority w:val="99"/>
    <w:unhideWhenUsed/>
    <w:rPr>
      <w:vertAlign w:val="superscript"/>
    </w:rPr>
  </w:style>
  <w:style w:type="paragraph" w:styleId="177">
    <w:name w:val="endnote text"/>
    <w:basedOn w:val="60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8"/>
    <w:uiPriority w:val="99"/>
    <w:semiHidden/>
    <w:unhideWhenUsed/>
    <w:rPr>
      <w:vertAlign w:val="superscript"/>
    </w:rPr>
  </w:style>
  <w:style w:type="paragraph" w:styleId="180">
    <w:name w:val="toc 1"/>
    <w:basedOn w:val="605"/>
    <w:next w:val="60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5"/>
    <w:next w:val="60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5"/>
    <w:next w:val="60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5"/>
    <w:next w:val="60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5"/>
    <w:next w:val="60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5"/>
    <w:next w:val="60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5"/>
    <w:next w:val="60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5"/>
    <w:next w:val="60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5"/>
    <w:next w:val="60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5"/>
    <w:next w:val="605"/>
    <w:uiPriority w:val="99"/>
    <w:unhideWhenUsed/>
    <w:pPr>
      <w:spacing w:after="0" w:afterAutospacing="0"/>
    </w:pPr>
  </w:style>
  <w:style w:type="paragraph" w:styleId="605" w:default="1">
    <w:name w:val="Normal"/>
    <w:qFormat/>
    <w:pPr>
      <w:ind w:left="79" w:firstLine="557"/>
      <w:jc w:val="both"/>
      <w:spacing w:after="0" w:line="249" w:lineRule="auto"/>
    </w:pPr>
    <w:rPr>
      <w:rFonts w:ascii="Times New Roman" w:hAnsi="Times New Roman" w:eastAsia="Times New Roman" w:cs="Times New Roman"/>
      <w:color w:val="000000"/>
    </w:rPr>
  </w:style>
  <w:style w:type="paragraph" w:styleId="606">
    <w:name w:val="Heading 1"/>
    <w:next w:val="605"/>
    <w:link w:val="612"/>
    <w:uiPriority w:val="9"/>
    <w:qFormat/>
    <w:pPr>
      <w:ind w:left="10" w:right="80" w:hanging="10"/>
      <w:jc w:val="center"/>
      <w:keepLines/>
      <w:keepNext/>
      <w:spacing w:after="0" w:line="259" w:lineRule="auto"/>
      <w:outlineLvl w:val="0"/>
    </w:pPr>
    <w:rPr>
      <w:rFonts w:ascii="Times New Roman" w:hAnsi="Times New Roman" w:eastAsia="Times New Roman" w:cs="Times New Roman"/>
      <w:b/>
      <w:color w:val="000000"/>
    </w:rPr>
  </w:style>
  <w:style w:type="paragraph" w:styleId="607">
    <w:name w:val="Heading 2"/>
    <w:next w:val="605"/>
    <w:link w:val="611"/>
    <w:uiPriority w:val="9"/>
    <w:unhideWhenUsed/>
    <w:qFormat/>
    <w:pPr>
      <w:ind w:right="79"/>
      <w:jc w:val="right"/>
      <w:keepLines/>
      <w:keepNext/>
      <w:spacing w:after="0" w:line="259" w:lineRule="auto"/>
      <w:outlineLvl w:val="1"/>
    </w:pPr>
    <w:rPr>
      <w:rFonts w:ascii="Times New Roman" w:hAnsi="Times New Roman" w:eastAsia="Times New Roman" w:cs="Times New Roman"/>
      <w:b/>
      <w:i/>
      <w:color w:val="000000"/>
    </w:rPr>
  </w:style>
  <w:style w:type="character" w:styleId="608" w:default="1">
    <w:name w:val="Default Paragraph Font"/>
    <w:uiPriority w:val="1"/>
    <w:semiHidden/>
    <w:unhideWhenUsed/>
  </w:style>
  <w:style w:type="table" w:styleId="6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0" w:default="1">
    <w:name w:val="No List"/>
    <w:uiPriority w:val="99"/>
    <w:semiHidden/>
    <w:unhideWhenUsed/>
  </w:style>
  <w:style w:type="character" w:styleId="611" w:customStyle="1">
    <w:name w:val="Заголовок 2 Знак"/>
    <w:link w:val="607"/>
    <w:rPr>
      <w:rFonts w:ascii="Times New Roman" w:hAnsi="Times New Roman" w:eastAsia="Times New Roman" w:cs="Times New Roman"/>
      <w:b/>
      <w:i/>
      <w:color w:val="000000"/>
      <w:sz w:val="24"/>
    </w:rPr>
  </w:style>
  <w:style w:type="character" w:styleId="612" w:customStyle="1">
    <w:name w:val="Заголовок 1 Знак"/>
    <w:link w:val="606"/>
    <w:rPr>
      <w:rFonts w:ascii="Times New Roman" w:hAnsi="Times New Roman" w:eastAsia="Times New Roman" w:cs="Times New Roman"/>
      <w:b/>
      <w:color w:val="000000"/>
      <w:sz w:val="24"/>
    </w:rPr>
  </w:style>
  <w:style w:type="paragraph" w:styleId="613">
    <w:name w:val="List Paragraph"/>
    <w:basedOn w:val="60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- 11.docx</dc:title>
  <dc:subject/>
  <dc:creator>AAA</dc:creator>
  <cp:keywords/>
  <cp:revision>3</cp:revision>
  <dcterms:created xsi:type="dcterms:W3CDTF">2025-12-01T08:09:00Z</dcterms:created>
  <dcterms:modified xsi:type="dcterms:W3CDTF">2025-12-09T05:54:54Z</dcterms:modified>
</cp:coreProperties>
</file>