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C2" w:rsidRDefault="00DF70C2" w:rsidP="00DF70C2">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УДК 347</w:t>
      </w:r>
    </w:p>
    <w:p w:rsidR="00DF70C2" w:rsidRDefault="00DF70C2" w:rsidP="00DF70C2">
      <w:pPr>
        <w:spacing w:after="0" w:line="360" w:lineRule="auto"/>
        <w:ind w:left="-720" w:firstLine="709"/>
        <w:jc w:val="right"/>
        <w:rPr>
          <w:rFonts w:ascii="Times New Roman" w:eastAsia="Times New Roman" w:hAnsi="Times New Roman"/>
          <w:b/>
          <w:i/>
          <w:color w:val="000000"/>
          <w:sz w:val="28"/>
          <w:szCs w:val="28"/>
          <w:lang w:eastAsia="ru-RU"/>
        </w:rPr>
      </w:pPr>
      <w:r>
        <w:rPr>
          <w:rFonts w:ascii="Times New Roman" w:eastAsia="Times New Roman" w:hAnsi="Times New Roman"/>
          <w:b/>
          <w:i/>
          <w:color w:val="000000"/>
          <w:sz w:val="28"/>
          <w:szCs w:val="28"/>
          <w:lang w:eastAsia="ru-RU"/>
        </w:rPr>
        <w:t>Левадная Дарья Андреевна</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Студентка магистратуры</w:t>
      </w:r>
      <w:r w:rsidRPr="0029389F">
        <w:rPr>
          <w:rFonts w:ascii="Times New Roman" w:eastAsia="Times New Roman" w:hAnsi="Times New Roman"/>
          <w:i/>
          <w:color w:val="000000"/>
          <w:sz w:val="28"/>
          <w:szCs w:val="28"/>
          <w:lang w:eastAsia="ru-RU"/>
        </w:rPr>
        <w:t xml:space="preserve"> группа </w:t>
      </w:r>
      <w:r>
        <w:rPr>
          <w:rFonts w:ascii="Times New Roman" w:eastAsia="Times New Roman" w:hAnsi="Times New Roman"/>
          <w:i/>
          <w:color w:val="000000"/>
          <w:sz w:val="28"/>
          <w:szCs w:val="28"/>
          <w:lang w:eastAsia="ru-RU"/>
        </w:rPr>
        <w:t xml:space="preserve">АП-301Мз </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факультета  «Институт права» УУНиТ</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Россия, г. Уфа</w:t>
      </w:r>
    </w:p>
    <w:p w:rsidR="00DF70C2" w:rsidRPr="0063517E" w:rsidRDefault="00DF70C2" w:rsidP="00DF70C2">
      <w:pPr>
        <w:spacing w:after="0" w:line="360" w:lineRule="auto"/>
        <w:jc w:val="right"/>
        <w:rPr>
          <w:rFonts w:ascii="Times New Roman" w:eastAsia="Times New Roman" w:hAnsi="Times New Roman"/>
          <w:color w:val="000000"/>
          <w:sz w:val="28"/>
          <w:szCs w:val="28"/>
          <w:lang w:val="en-US" w:eastAsia="ru-RU"/>
        </w:rPr>
      </w:pPr>
      <w:r>
        <w:rPr>
          <w:rFonts w:ascii="Times New Roman" w:eastAsia="Times New Roman" w:hAnsi="Times New Roman"/>
          <w:color w:val="000000"/>
          <w:sz w:val="28"/>
          <w:szCs w:val="28"/>
          <w:lang w:val="en-US" w:eastAsia="ru-RU"/>
        </w:rPr>
        <w:t>E</w:t>
      </w:r>
      <w:r w:rsidRPr="0063517E">
        <w:rPr>
          <w:rFonts w:ascii="Times New Roman" w:eastAsia="Times New Roman" w:hAnsi="Times New Roman"/>
          <w:color w:val="000000"/>
          <w:sz w:val="28"/>
          <w:szCs w:val="28"/>
          <w:lang w:val="en-US" w:eastAsia="ru-RU"/>
        </w:rPr>
        <w:t>-</w:t>
      </w:r>
      <w:r>
        <w:rPr>
          <w:rFonts w:ascii="Times New Roman" w:eastAsia="Times New Roman" w:hAnsi="Times New Roman"/>
          <w:color w:val="000000"/>
          <w:sz w:val="28"/>
          <w:szCs w:val="28"/>
          <w:lang w:val="en-US" w:eastAsia="ru-RU"/>
        </w:rPr>
        <w:t>mail</w:t>
      </w:r>
      <w:r w:rsidRPr="0063517E">
        <w:rPr>
          <w:rFonts w:ascii="Times New Roman" w:eastAsia="Times New Roman" w:hAnsi="Times New Roman"/>
          <w:color w:val="000000"/>
          <w:sz w:val="28"/>
          <w:szCs w:val="28"/>
          <w:lang w:val="en-US" w:eastAsia="ru-RU"/>
        </w:rPr>
        <w:t xml:space="preserve">: </w:t>
      </w:r>
      <w:r>
        <w:rPr>
          <w:rFonts w:ascii="Times New Roman" w:hAnsi="Times New Roman"/>
          <w:sz w:val="28"/>
          <w:szCs w:val="28"/>
          <w:lang w:val="en-US"/>
        </w:rPr>
        <w:t>dasha</w:t>
      </w:r>
      <w:r w:rsidRPr="0063517E">
        <w:rPr>
          <w:rFonts w:ascii="Times New Roman" w:hAnsi="Times New Roman"/>
          <w:sz w:val="28"/>
          <w:szCs w:val="28"/>
          <w:lang w:val="en-US"/>
        </w:rPr>
        <w:t>.</w:t>
      </w:r>
      <w:r>
        <w:rPr>
          <w:rFonts w:ascii="Times New Roman" w:hAnsi="Times New Roman"/>
          <w:sz w:val="28"/>
          <w:szCs w:val="28"/>
          <w:lang w:val="en-US"/>
        </w:rPr>
        <w:t>andreevvna</w:t>
      </w:r>
      <w:r w:rsidRPr="0063517E">
        <w:rPr>
          <w:rFonts w:ascii="Times New Roman" w:hAnsi="Times New Roman"/>
          <w:sz w:val="28"/>
          <w:szCs w:val="28"/>
          <w:lang w:val="en-US"/>
        </w:rPr>
        <w:t>.2020@</w:t>
      </w:r>
      <w:r>
        <w:rPr>
          <w:rFonts w:ascii="Times New Roman" w:hAnsi="Times New Roman"/>
          <w:sz w:val="28"/>
          <w:szCs w:val="28"/>
          <w:lang w:val="en-US"/>
        </w:rPr>
        <w:t>mail</w:t>
      </w:r>
      <w:r w:rsidRPr="0063517E">
        <w:rPr>
          <w:rFonts w:ascii="Times New Roman" w:hAnsi="Times New Roman"/>
          <w:sz w:val="28"/>
          <w:szCs w:val="28"/>
          <w:lang w:val="en-US"/>
        </w:rPr>
        <w:t>.</w:t>
      </w:r>
      <w:r>
        <w:rPr>
          <w:rFonts w:ascii="Times New Roman" w:hAnsi="Times New Roman"/>
          <w:sz w:val="28"/>
          <w:szCs w:val="28"/>
          <w:lang w:val="en-US"/>
        </w:rPr>
        <w:t>ru</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b/>
          <w:i/>
          <w:color w:val="000000"/>
          <w:sz w:val="28"/>
          <w:szCs w:val="28"/>
          <w:lang w:eastAsia="ru-RU"/>
        </w:rPr>
        <w:t xml:space="preserve">Научный руководитель: </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Тулупова Елена Олеговна.</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r>
        <w:rPr>
          <w:rFonts w:ascii="Times New Roman" w:eastAsia="Times New Roman" w:hAnsi="Times New Roman"/>
          <w:i/>
          <w:color w:val="000000"/>
          <w:sz w:val="28"/>
          <w:szCs w:val="28"/>
          <w:lang w:eastAsia="ru-RU"/>
        </w:rPr>
        <w:t>Кандидат юридических наук, доцент.</w:t>
      </w: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p>
    <w:p w:rsidR="00DF70C2" w:rsidRDefault="00DF70C2" w:rsidP="00DF70C2">
      <w:pPr>
        <w:spacing w:after="0" w:line="360" w:lineRule="auto"/>
        <w:ind w:left="-720" w:firstLine="709"/>
        <w:jc w:val="right"/>
        <w:rPr>
          <w:rFonts w:ascii="Times New Roman" w:eastAsia="Times New Roman" w:hAnsi="Times New Roman"/>
          <w:i/>
          <w:color w:val="000000"/>
          <w:sz w:val="28"/>
          <w:szCs w:val="28"/>
          <w:lang w:eastAsia="ru-RU"/>
        </w:rPr>
      </w:pPr>
    </w:p>
    <w:p w:rsidR="00DF70C2" w:rsidRDefault="00DF70C2" w:rsidP="00DF70C2">
      <w:pPr>
        <w:spacing w:after="0" w:line="360" w:lineRule="auto"/>
        <w:jc w:val="center"/>
        <w:rPr>
          <w:rFonts w:ascii="Times New Roman" w:eastAsia="Times New Roman" w:hAnsi="Times New Roman"/>
          <w:b/>
          <w:color w:val="000000"/>
          <w:sz w:val="28"/>
          <w:szCs w:val="28"/>
          <w:lang w:eastAsia="ru-RU"/>
        </w:rPr>
      </w:pPr>
      <w:r>
        <w:rPr>
          <w:rFonts w:ascii="Tahoma" w:eastAsia="Times New Roman" w:hAnsi="Tahoma" w:cs="Tahoma"/>
          <w:b/>
          <w:color w:val="000000"/>
          <w:sz w:val="28"/>
          <w:szCs w:val="28"/>
          <w:lang w:eastAsia="ru-RU"/>
        </w:rPr>
        <w:t>﻿</w:t>
      </w:r>
      <w:r w:rsidR="006E1BC2">
        <w:rPr>
          <w:rFonts w:ascii="Times New Roman" w:eastAsia="Times New Roman" w:hAnsi="Times New Roman"/>
          <w:b/>
          <w:color w:val="000000"/>
          <w:sz w:val="28"/>
          <w:szCs w:val="28"/>
          <w:lang w:eastAsia="ru-RU"/>
        </w:rPr>
        <w:t>ЮВЕНАЛЬНАЯ ЮСТИЦИЯ В РАЗНЫХ СТРАНАХ</w:t>
      </w:r>
    </w:p>
    <w:p w:rsidR="00DF70C2" w:rsidRDefault="00DF70C2" w:rsidP="00DF70C2">
      <w:pPr>
        <w:spacing w:after="0" w:line="360" w:lineRule="auto"/>
        <w:jc w:val="center"/>
        <w:rPr>
          <w:rFonts w:ascii="Times New Roman" w:eastAsia="Times New Roman" w:hAnsi="Times New Roman"/>
          <w:color w:val="000000"/>
          <w:sz w:val="28"/>
          <w:szCs w:val="28"/>
          <w:lang w:eastAsia="ru-RU"/>
        </w:rPr>
      </w:pPr>
    </w:p>
    <w:p w:rsidR="00C056D5" w:rsidRPr="00C056D5" w:rsidRDefault="00DF70C2" w:rsidP="00E00289">
      <w:pPr>
        <w:spacing w:after="0" w:line="36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Аннотация: </w:t>
      </w:r>
      <w:r w:rsidR="00C056D5" w:rsidRPr="00C056D5">
        <w:rPr>
          <w:rFonts w:ascii="Times New Roman" w:eastAsia="Times New Roman" w:hAnsi="Times New Roman"/>
          <w:bCs/>
          <w:color w:val="000000"/>
          <w:sz w:val="28"/>
          <w:szCs w:val="28"/>
          <w:lang w:eastAsia="ru-RU"/>
        </w:rPr>
        <w:t>В последние десятилетия внимание к защите прав несовершеннолетних заметно усилилось, и это связано с постоянными изменениями в социальной сфере, ростом числа семейных конфликтов и усложнением правоприменительной практики. Ювенальная юстиция в разных странах формировалась по своим моделям, однако в её основе почти везде закрепляется идея детской адвокатуры — системы, которая обеспечивает ребёнку профессиональное правовое сопровождение и гарантии справедливого рассмотрения его ситуации.</w:t>
      </w:r>
    </w:p>
    <w:p w:rsidR="00DF70C2" w:rsidRDefault="00DF70C2" w:rsidP="00C056D5">
      <w:pPr>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Ключевые слова</w:t>
      </w:r>
      <w:r>
        <w:rPr>
          <w:rFonts w:ascii="Times New Roman" w:eastAsia="Times New Roman" w:hAnsi="Times New Roman"/>
          <w:color w:val="000000"/>
          <w:sz w:val="28"/>
          <w:szCs w:val="28"/>
          <w:lang w:eastAsia="ru-RU"/>
        </w:rPr>
        <w:t xml:space="preserve">: </w:t>
      </w:r>
      <w:r w:rsidR="00C13509" w:rsidRPr="00C13509">
        <w:rPr>
          <w:rFonts w:ascii="Times New Roman" w:eastAsia="Times New Roman" w:hAnsi="Times New Roman"/>
          <w:color w:val="000000"/>
          <w:sz w:val="28"/>
          <w:szCs w:val="28"/>
          <w:lang w:eastAsia="ru-RU"/>
        </w:rPr>
        <w:t>ювенальная юстиция, детская адвокатура, защита пра</w:t>
      </w:r>
      <w:r w:rsidR="00C13509">
        <w:rPr>
          <w:rFonts w:ascii="Times New Roman" w:eastAsia="Times New Roman" w:hAnsi="Times New Roman"/>
          <w:color w:val="000000"/>
          <w:sz w:val="28"/>
          <w:szCs w:val="28"/>
          <w:lang w:eastAsia="ru-RU"/>
        </w:rPr>
        <w:t xml:space="preserve">в ребёнка, сравнительное право, </w:t>
      </w:r>
      <w:r w:rsidR="00C13509" w:rsidRPr="00C13509">
        <w:rPr>
          <w:rFonts w:ascii="Times New Roman" w:eastAsia="Times New Roman" w:hAnsi="Times New Roman"/>
          <w:color w:val="000000"/>
          <w:sz w:val="28"/>
          <w:szCs w:val="28"/>
          <w:lang w:eastAsia="ru-RU"/>
        </w:rPr>
        <w:t>международные стандарты, семейное законодательство, судебная практика, социальная поддержка несовершеннолетних, восстановительное правосудие, правовые механизмы</w:t>
      </w:r>
      <w:r w:rsidR="00C13509">
        <w:rPr>
          <w:rFonts w:ascii="Times New Roman" w:eastAsia="Times New Roman" w:hAnsi="Times New Roman"/>
          <w:color w:val="000000"/>
          <w:sz w:val="28"/>
          <w:szCs w:val="28"/>
          <w:lang w:eastAsia="ru-RU"/>
        </w:rPr>
        <w:t>.</w:t>
      </w:r>
    </w:p>
    <w:p w:rsidR="00E00289" w:rsidRPr="00E00289" w:rsidRDefault="00E00289" w:rsidP="00E00289">
      <w:pPr>
        <w:spacing w:after="0" w:line="360" w:lineRule="auto"/>
        <w:ind w:firstLine="709"/>
        <w:jc w:val="both"/>
        <w:rPr>
          <w:rFonts w:ascii="Times New Roman" w:eastAsia="Times New Roman" w:hAnsi="Times New Roman"/>
          <w:color w:val="000000"/>
          <w:sz w:val="28"/>
          <w:szCs w:val="28"/>
          <w:lang w:val="en-US" w:eastAsia="ru-RU"/>
        </w:rPr>
      </w:pPr>
      <w:r w:rsidRPr="00E00289">
        <w:rPr>
          <w:rFonts w:ascii="Times New Roman" w:eastAsia="Times New Roman" w:hAnsi="Times New Roman"/>
          <w:color w:val="000000"/>
          <w:sz w:val="28"/>
          <w:szCs w:val="28"/>
          <w:lang w:val="en-US" w:eastAsia="ru-RU"/>
        </w:rPr>
        <w:t xml:space="preserve">Abstract: In recent decades, attention to the protection of minors' rights has increased significantly, due to ongoing changes in the social sphere, an increase in family conflicts, and the complexity of law enforcement practices. While juvenile justice systems have evolved differently across countries, they often incorporate </w:t>
      </w:r>
      <w:r w:rsidRPr="00E00289">
        <w:rPr>
          <w:rFonts w:ascii="Times New Roman" w:eastAsia="Times New Roman" w:hAnsi="Times New Roman"/>
          <w:color w:val="000000"/>
          <w:sz w:val="28"/>
          <w:szCs w:val="28"/>
          <w:lang w:val="en-US" w:eastAsia="ru-RU"/>
        </w:rPr>
        <w:lastRenderedPageBreak/>
        <w:t>the concept of child advocacy, which provides children with professional legal representation and guarantees fair treatment of their cases.</w:t>
      </w:r>
    </w:p>
    <w:p w:rsidR="00E00289" w:rsidRPr="00E00289" w:rsidRDefault="00E00289" w:rsidP="00E00289">
      <w:pPr>
        <w:spacing w:after="0" w:line="360" w:lineRule="auto"/>
        <w:ind w:firstLine="709"/>
        <w:jc w:val="both"/>
        <w:rPr>
          <w:rFonts w:ascii="Times New Roman" w:eastAsia="Times New Roman" w:hAnsi="Times New Roman"/>
          <w:color w:val="000000"/>
          <w:sz w:val="28"/>
          <w:szCs w:val="28"/>
          <w:lang w:val="en-US" w:eastAsia="ru-RU"/>
        </w:rPr>
      </w:pPr>
      <w:r w:rsidRPr="00E00289">
        <w:rPr>
          <w:rFonts w:ascii="Times New Roman" w:eastAsia="Times New Roman" w:hAnsi="Times New Roman"/>
          <w:b/>
          <w:color w:val="000000"/>
          <w:sz w:val="28"/>
          <w:szCs w:val="28"/>
          <w:lang w:val="en-US" w:eastAsia="ru-RU"/>
        </w:rPr>
        <w:t>Keywords:</w:t>
      </w:r>
      <w:r w:rsidRPr="00E00289">
        <w:rPr>
          <w:rFonts w:ascii="Times New Roman" w:eastAsia="Times New Roman" w:hAnsi="Times New Roman"/>
          <w:color w:val="000000"/>
          <w:sz w:val="28"/>
          <w:szCs w:val="28"/>
          <w:lang w:val="en-US" w:eastAsia="ru-RU"/>
        </w:rPr>
        <w:t xml:space="preserve"> juvenile justice, children's advocacy, protection of children's rights, comparative law, international standards, family legislation, judicial practice, social support for minors, restorative justice, and legal mechanisms.</w:t>
      </w:r>
    </w:p>
    <w:p w:rsidR="00C13509" w:rsidRPr="00C13509" w:rsidRDefault="00C13509" w:rsidP="00C13509">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C13509">
        <w:rPr>
          <w:rFonts w:ascii="Times New Roman" w:eastAsia="Times New Roman" w:hAnsi="Times New Roman"/>
          <w:color w:val="000000"/>
          <w:sz w:val="28"/>
          <w:szCs w:val="28"/>
          <w:lang w:eastAsia="ru-RU"/>
        </w:rPr>
        <w:t>Ювенальная юстиция в современном понимании представляет собой систему правовых и социальных механизмов, направленных на защиту несовершеннолетних в ситуациях, когда они оказываются в конфликте</w:t>
      </w:r>
      <w:r w:rsidR="00D740EB">
        <w:rPr>
          <w:rFonts w:ascii="Times New Roman" w:eastAsia="Times New Roman" w:hAnsi="Times New Roman"/>
          <w:color w:val="000000"/>
          <w:sz w:val="28"/>
          <w:szCs w:val="28"/>
          <w:lang w:eastAsia="ru-RU"/>
        </w:rPr>
        <w:t xml:space="preserve">                  </w:t>
      </w:r>
      <w:r w:rsidRPr="00C13509">
        <w:rPr>
          <w:rFonts w:ascii="Times New Roman" w:eastAsia="Times New Roman" w:hAnsi="Times New Roman"/>
          <w:color w:val="000000"/>
          <w:sz w:val="28"/>
          <w:szCs w:val="28"/>
          <w:lang w:eastAsia="ru-RU"/>
        </w:rPr>
        <w:t xml:space="preserve"> с законом или сталкиваются с угрозами в семье и обществе. Ювенальная юстиция включает не только суды, но и работу социальных служб, психологов, медиаторов и образовательных учреждений. В разных странах акценты распределяются по-разному, но общий смысл заключается в том, чтобы создать условия, в которых ребёнок получает не наказание, а шанс на восстановление нормальной жизни.</w:t>
      </w:r>
    </w:p>
    <w:p w:rsidR="00C13509" w:rsidRPr="00C13509" w:rsidRDefault="00C13509" w:rsidP="00C13509">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0F4ABF">
        <w:rPr>
          <w:rFonts w:ascii="Times New Roman" w:eastAsia="Times New Roman" w:hAnsi="Times New Roman"/>
          <w:color w:val="000000"/>
          <w:sz w:val="28"/>
          <w:szCs w:val="28"/>
          <w:lang w:eastAsia="ru-RU"/>
        </w:rPr>
        <w:t xml:space="preserve">Несмотря на различие правовых систем, почти во всех зарубежных странах ювенальная юстиция строится вокруг идеи гарантированной юридической помощи. Законодательство подчёркивает, что несовершеннолетнему требуется грамотный специалист, который сможет объяснить суть происходящего, защитить от давления и помочь донести своё мнение до суда или органов власти. Такой подход делает систему гибче </w:t>
      </w:r>
      <w:r w:rsidR="00A706B4" w:rsidRPr="000F4ABF">
        <w:rPr>
          <w:rFonts w:ascii="Times New Roman" w:eastAsia="Times New Roman" w:hAnsi="Times New Roman"/>
          <w:color w:val="000000"/>
          <w:sz w:val="28"/>
          <w:szCs w:val="28"/>
          <w:lang w:eastAsia="ru-RU"/>
        </w:rPr>
        <w:t xml:space="preserve">                   </w:t>
      </w:r>
      <w:r w:rsidRPr="000F4ABF">
        <w:rPr>
          <w:rFonts w:ascii="Times New Roman" w:eastAsia="Times New Roman" w:hAnsi="Times New Roman"/>
          <w:color w:val="000000"/>
          <w:sz w:val="28"/>
          <w:szCs w:val="28"/>
          <w:lang w:eastAsia="ru-RU"/>
        </w:rPr>
        <w:t>и человечнее, поскольку право ребёнка на адвоката становится не привилегией, а обязательным условием справедливой процедуры.</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Ювенальная юстиция в России пока не оформлена как полноценная специализированная система</w:t>
      </w:r>
      <w:r w:rsidR="00803718">
        <w:rPr>
          <w:rStyle w:val="a3"/>
          <w:rFonts w:ascii="Times New Roman" w:eastAsia="Times New Roman" w:hAnsi="Times New Roman"/>
          <w:color w:val="000000"/>
          <w:sz w:val="28"/>
          <w:szCs w:val="28"/>
          <w:lang w:eastAsia="ru-RU"/>
        </w:rPr>
        <w:footnoteReference w:id="2"/>
      </w:r>
      <w:r w:rsidRPr="00231F76">
        <w:rPr>
          <w:rFonts w:ascii="Times New Roman" w:eastAsia="Times New Roman" w:hAnsi="Times New Roman"/>
          <w:color w:val="000000"/>
          <w:sz w:val="28"/>
          <w:szCs w:val="28"/>
          <w:lang w:eastAsia="ru-RU"/>
        </w:rPr>
        <w:t xml:space="preserve">, но ряд её элементов уже был подробно проработан и обсуждался в государстве в 2000-е годы. В период до 2010 года велась активная работа по созданию новой судебно-правовой модели, ориентированной на защиту несовершеннолетних, совершивших </w:t>
      </w:r>
      <w:r w:rsidRPr="00231F76">
        <w:rPr>
          <w:rFonts w:ascii="Times New Roman" w:eastAsia="Times New Roman" w:hAnsi="Times New Roman"/>
          <w:color w:val="000000"/>
          <w:sz w:val="28"/>
          <w:szCs w:val="28"/>
          <w:lang w:eastAsia="ru-RU"/>
        </w:rPr>
        <w:lastRenderedPageBreak/>
        <w:t xml:space="preserve">правонарушения или оказавшихся в сложных жизненных ситуациях. Предполагалось, что ювенальная система объединит суды, органы профилактики, социальные службы, центры реабилитации и контроль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за исполнением мер воспитательного воздействия. </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xml:space="preserve">В 2005 году был разработан проект Федерального закона «Об основах системы ювенальной юстиции», направленный на закрепление структуры органов, обеспечивающих защиту прав подростков. Обсуждался также проект Федерального конституционного закона «О ювенальных судах в Российской Федерации», инициированный общественными организациями. Его цель заключалась в создании специализированных судебных составов, ориентированных исключительно на дела несовершеннолетних. Одним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из наиболее заметных проектов стала концепция Ювенального суда г. Ростова-на-Дону, где предполагалось формирование отдельного судебного состава с детальными правилами рассмотрения подобных дел.</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xml:space="preserve">В России существует различие между ювенальной юстицией в узком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и широком смысле</w:t>
      </w:r>
      <w:r w:rsidR="00803718">
        <w:rPr>
          <w:rStyle w:val="a3"/>
          <w:rFonts w:ascii="Times New Roman" w:eastAsia="Times New Roman" w:hAnsi="Times New Roman"/>
          <w:color w:val="000000"/>
          <w:sz w:val="28"/>
          <w:szCs w:val="28"/>
          <w:lang w:eastAsia="ru-RU"/>
        </w:rPr>
        <w:footnoteReference w:id="3"/>
      </w:r>
      <w:r w:rsidRPr="00231F76">
        <w:rPr>
          <w:rFonts w:ascii="Times New Roman" w:eastAsia="Times New Roman" w:hAnsi="Times New Roman"/>
          <w:color w:val="000000"/>
          <w:sz w:val="28"/>
          <w:szCs w:val="28"/>
          <w:lang w:eastAsia="ru-RU"/>
        </w:rPr>
        <w:t xml:space="preserve">. В узком — это отдельная ветвь судебной системы, связанная исключительно с рассмотрением дел несовершеннолетних.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В широком — это комплекс правовых, социальных, психологических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и профилактических механизмов, направленных на защиту прав детей. Ювенальная система рассматривается как теоретико-правовая конструкция, включающая множество институтов — от комиссий по делам несовершеннолетних до служб сопровождения</w:t>
      </w:r>
      <w:r w:rsidR="00667020">
        <w:rPr>
          <w:rStyle w:val="a3"/>
          <w:rFonts w:ascii="Times New Roman" w:eastAsia="Times New Roman" w:hAnsi="Times New Roman"/>
          <w:color w:val="000000"/>
          <w:sz w:val="28"/>
          <w:szCs w:val="28"/>
          <w:lang w:eastAsia="ru-RU"/>
        </w:rPr>
        <w:footnoteReference w:id="4"/>
      </w:r>
      <w:r w:rsidRPr="00231F76">
        <w:rPr>
          <w:rFonts w:ascii="Times New Roman" w:eastAsia="Times New Roman" w:hAnsi="Times New Roman"/>
          <w:color w:val="000000"/>
          <w:sz w:val="28"/>
          <w:szCs w:val="28"/>
          <w:lang w:eastAsia="ru-RU"/>
        </w:rPr>
        <w:t>. Её центральное звено —адвокатура, поскольку именно адвокат обеспечивает законность, защиту интересов подростка и прозрачность работы государственных органов.</w:t>
      </w:r>
    </w:p>
    <w:p w:rsidR="00D0136D"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lastRenderedPageBreak/>
        <w:t>В российском законодательстве фундамент ювенальной защиты уже закреплён. Часть 1 статьи 48 Конституции РФ</w:t>
      </w:r>
      <w:r w:rsidR="000F4ABF">
        <w:rPr>
          <w:rStyle w:val="a3"/>
          <w:rFonts w:ascii="Times New Roman" w:eastAsia="Times New Roman" w:hAnsi="Times New Roman"/>
          <w:color w:val="000000"/>
          <w:sz w:val="28"/>
          <w:szCs w:val="28"/>
          <w:lang w:eastAsia="ru-RU"/>
        </w:rPr>
        <w:footnoteReference w:id="5"/>
      </w:r>
      <w:r w:rsidRPr="00231F76">
        <w:rPr>
          <w:rFonts w:ascii="Times New Roman" w:eastAsia="Times New Roman" w:hAnsi="Times New Roman"/>
          <w:color w:val="000000"/>
          <w:sz w:val="28"/>
          <w:szCs w:val="28"/>
          <w:lang w:eastAsia="ru-RU"/>
        </w:rPr>
        <w:t xml:space="preserve"> гарантирует право каждого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на получение квалифицированной юридической помощи, и это право полностью распространяется на несовершеннолетних.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Уголовно-процессуальный кодекс усиливает эти гарантии: по части 1 статьи 51 УПК РФ</w:t>
      </w:r>
      <w:r w:rsidR="000F4ABF">
        <w:rPr>
          <w:rStyle w:val="a3"/>
          <w:rFonts w:ascii="Times New Roman" w:eastAsia="Times New Roman" w:hAnsi="Times New Roman"/>
          <w:color w:val="000000"/>
          <w:sz w:val="28"/>
          <w:szCs w:val="28"/>
          <w:lang w:eastAsia="ru-RU"/>
        </w:rPr>
        <w:footnoteReference w:id="6"/>
      </w:r>
      <w:r w:rsidRPr="00231F76">
        <w:rPr>
          <w:rFonts w:ascii="Times New Roman" w:eastAsia="Times New Roman" w:hAnsi="Times New Roman"/>
          <w:color w:val="000000"/>
          <w:sz w:val="28"/>
          <w:szCs w:val="28"/>
          <w:lang w:eastAsia="ru-RU"/>
        </w:rPr>
        <w:t xml:space="preserve"> участие защитника обязательно при рассмотрении уголовных дел</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в отношении несовершеннолетних. В части 2 статьи 49 УПК РФ прямо указано, что защитником может быть только адвокат.</w:t>
      </w:r>
      <w:r w:rsidR="00D0136D">
        <w:rPr>
          <w:rFonts w:ascii="Times New Roman" w:eastAsia="Times New Roman" w:hAnsi="Times New Roman"/>
          <w:color w:val="000000"/>
          <w:sz w:val="28"/>
          <w:szCs w:val="28"/>
          <w:lang w:eastAsia="ru-RU"/>
        </w:rPr>
        <w:t xml:space="preserve"> </w:t>
      </w:r>
    </w:p>
    <w:p w:rsidR="00D0136D" w:rsidRDefault="00D0136D"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Стоит добавить, что в Российской Федерации есть </w:t>
      </w:r>
      <w:r w:rsidRPr="00D0136D">
        <w:rPr>
          <w:rFonts w:ascii="Times New Roman" w:eastAsia="Times New Roman" w:hAnsi="Times New Roman"/>
          <w:color w:val="000000"/>
          <w:sz w:val="28"/>
          <w:szCs w:val="28"/>
          <w:lang w:eastAsia="ru-RU"/>
        </w:rPr>
        <w:t xml:space="preserve">Уполномоченный по правам ребёнка </w:t>
      </w:r>
      <w:r>
        <w:rPr>
          <w:rFonts w:ascii="Times New Roman" w:eastAsia="Times New Roman" w:hAnsi="Times New Roman"/>
          <w:color w:val="000000"/>
          <w:sz w:val="28"/>
          <w:szCs w:val="28"/>
          <w:lang w:eastAsia="ru-RU"/>
        </w:rPr>
        <w:t xml:space="preserve">при Президенте Российской Федерации </w:t>
      </w:r>
      <w:r w:rsidRPr="00D0136D">
        <w:rPr>
          <w:rFonts w:ascii="Times New Roman" w:eastAsia="Times New Roman" w:hAnsi="Times New Roman"/>
          <w:color w:val="000000"/>
          <w:sz w:val="28"/>
          <w:szCs w:val="28"/>
          <w:lang w:eastAsia="ru-RU"/>
        </w:rPr>
        <w:t>(детский омбудсмен)</w:t>
      </w:r>
      <w:r>
        <w:rPr>
          <w:rFonts w:ascii="Times New Roman" w:eastAsia="Times New Roman" w:hAnsi="Times New Roman"/>
          <w:color w:val="000000"/>
          <w:sz w:val="28"/>
          <w:szCs w:val="28"/>
          <w:lang w:eastAsia="ru-RU"/>
        </w:rPr>
        <w:t xml:space="preserve">, он </w:t>
      </w:r>
      <w:r w:rsidRPr="00D0136D">
        <w:rPr>
          <w:rFonts w:ascii="Times New Roman" w:eastAsia="Times New Roman" w:hAnsi="Times New Roman"/>
          <w:color w:val="000000"/>
          <w:sz w:val="28"/>
          <w:szCs w:val="28"/>
          <w:lang w:eastAsia="ru-RU"/>
        </w:rPr>
        <w:t>защищает права детей на территории России и за её пределами, а также содействует формированию системы защиты и реализации этих прав.</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Эти нормы подтверждают, что детская адвокатура занимает ключевое место в защите прав подростков, даже если ювенальная система в полном виде пока не сформирована.</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xml:space="preserve">В странах Европы и Северной Америки ювенальная юстиция давно стала самостоятельным институтом. Почти везде адвокат ребёнка не просто представитель, а полноценный участник процесса, имеющий право влиять </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на решения суда, органов соцзащиты и полиции.</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Особенно подробно ювенальная система развита во Франции.</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 Её становление началось ещё в начале XX века. В 1912 году был создан первый специализированный суд по делам н</w:t>
      </w:r>
      <w:r w:rsidR="00060188">
        <w:rPr>
          <w:rFonts w:ascii="Times New Roman" w:eastAsia="Times New Roman" w:hAnsi="Times New Roman"/>
          <w:color w:val="000000"/>
          <w:sz w:val="28"/>
          <w:szCs w:val="28"/>
          <w:lang w:eastAsia="ru-RU"/>
        </w:rPr>
        <w:t>есовершеннолетних, но его судьи</w:t>
      </w:r>
      <w:r w:rsidR="00A706B4">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не обладали специальной подготовкой. Уже в 1914 году появился </w:t>
      </w:r>
      <w:r w:rsidRPr="00231F76">
        <w:rPr>
          <w:rFonts w:ascii="Times New Roman" w:eastAsia="Times New Roman" w:hAnsi="Times New Roman"/>
          <w:color w:val="000000"/>
          <w:sz w:val="28"/>
          <w:szCs w:val="28"/>
          <w:lang w:eastAsia="ru-RU"/>
        </w:rPr>
        <w:lastRenderedPageBreak/>
        <w:t>первый настоящий ювенальный суд, созданный с учётом американского опыта.</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xml:space="preserve">Современная французская система сформировалась в феврале 1945 года — сразу после освобождения страны и начала восстановления экономики. Рост беспризорности и подростковой преступности сделал необходимым создание устойчивого механизма защиты детей. Именно тогда был принят основной нормативный акт — Закон </w:t>
      </w:r>
      <w:r w:rsidR="00060188">
        <w:rPr>
          <w:rFonts w:ascii="Times New Roman" w:eastAsia="Times New Roman" w:hAnsi="Times New Roman"/>
          <w:color w:val="000000"/>
          <w:sz w:val="28"/>
          <w:szCs w:val="28"/>
          <w:lang w:eastAsia="ru-RU"/>
        </w:rPr>
        <w:t>от 2 февраля 1945 года № 45-174</w:t>
      </w:r>
      <w:r w:rsidR="0056188F">
        <w:rPr>
          <w:rFonts w:ascii="Times New Roman" w:eastAsia="Times New Roman" w:hAnsi="Times New Roman"/>
          <w:color w:val="000000"/>
          <w:sz w:val="28"/>
          <w:szCs w:val="28"/>
          <w:lang w:eastAsia="ru-RU"/>
        </w:rPr>
        <w:t xml:space="preserve"> « </w:t>
      </w:r>
      <w:r w:rsidR="0063517E">
        <w:rPr>
          <w:rFonts w:ascii="Times New Roman" w:eastAsia="Times New Roman" w:hAnsi="Times New Roman"/>
          <w:color w:val="000000"/>
          <w:sz w:val="28"/>
          <w:szCs w:val="28"/>
          <w:lang w:eastAsia="ru-RU"/>
        </w:rPr>
        <w:t>О</w:t>
      </w:r>
      <w:r w:rsidRPr="00231F76">
        <w:rPr>
          <w:rFonts w:ascii="Times New Roman" w:eastAsia="Times New Roman" w:hAnsi="Times New Roman"/>
          <w:color w:val="000000"/>
          <w:sz w:val="28"/>
          <w:szCs w:val="28"/>
          <w:lang w:eastAsia="ru-RU"/>
        </w:rPr>
        <w:t xml:space="preserve"> правонарушениях несовершеннолетних</w:t>
      </w:r>
      <w:r w:rsidR="0056188F">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Его позднейшие модернизации только усилили комплексный подход.</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В 1958 году расширил</w:t>
      </w:r>
      <w:r w:rsidR="0056188F">
        <w:rPr>
          <w:rFonts w:ascii="Times New Roman" w:eastAsia="Times New Roman" w:hAnsi="Times New Roman"/>
          <w:color w:val="000000"/>
          <w:sz w:val="28"/>
          <w:szCs w:val="28"/>
          <w:lang w:eastAsia="ru-RU"/>
        </w:rPr>
        <w:t>и</w:t>
      </w:r>
      <w:r w:rsidRPr="00231F76">
        <w:rPr>
          <w:rFonts w:ascii="Times New Roman" w:eastAsia="Times New Roman" w:hAnsi="Times New Roman"/>
          <w:color w:val="000000"/>
          <w:sz w:val="28"/>
          <w:szCs w:val="28"/>
          <w:lang w:eastAsia="ru-RU"/>
        </w:rPr>
        <w:t xml:space="preserve"> сферу действия закона: ювенальная система стала распространяться не только на правонарушителей, но и на всех детей, находящихся в опасности. Появилась необходимость изучать личность подростка, что закреплено в обязательном социальном исследовании. Оно проводится по строгим процессуальным правилам и включает составление детального досье. Исследование выполняют сотрудники службы «надзираемой свободы» вместе с психологами, педагогами и медицинскими специалистами. Иногда подростка помещают в «центр наблюдения», если дело требует углублённого анализа.</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Социальное исследование предполагает посещение семьи для изучения условий жизни, особенностей воспитания и окружения подростка. Только после этого судья решает, передавать ли дело в детский трибунал. В составе трибунала работает ювенальный судья и асессоры — специалисты, которые профессионально занимаются защитой детей.</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xml:space="preserve">Ювенальная юстиция Франции охватывает весь цикл правосудия — </w:t>
      </w:r>
      <w:r w:rsidR="0056188F">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 xml:space="preserve">от задержания до контроля исполнения воспитательных мер. Информация </w:t>
      </w:r>
      <w:r w:rsidR="0056188F">
        <w:rPr>
          <w:rFonts w:ascii="Times New Roman" w:eastAsia="Times New Roman" w:hAnsi="Times New Roman"/>
          <w:color w:val="000000"/>
          <w:sz w:val="28"/>
          <w:szCs w:val="28"/>
          <w:lang w:eastAsia="ru-RU"/>
        </w:rPr>
        <w:t xml:space="preserve">                   </w:t>
      </w:r>
      <w:r w:rsidRPr="00231F76">
        <w:rPr>
          <w:rFonts w:ascii="Times New Roman" w:eastAsia="Times New Roman" w:hAnsi="Times New Roman"/>
          <w:color w:val="000000"/>
          <w:sz w:val="28"/>
          <w:szCs w:val="28"/>
          <w:lang w:eastAsia="ru-RU"/>
        </w:rPr>
        <w:t>о задержании подростка сразу передаётся ювенальному прокурору. Адвокат участвует в процессе с первых минут, обеспечивая защиту прав несовершеннолетнего и корректируя работу полиции.</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Французский опыт часто рассматривается как один из лучших в мире. Особенно ценными считаются:</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lastRenderedPageBreak/>
        <w:t>— приоритет воспитательных мер над карательными;</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глубокий анализ личности несовершеннолетнего;</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специализированная подготовка судей;</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 регулярное участие детской адвокатуры.</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Сравнение с другими странами показывает общие закономерности. Германия, опираясь на Закон о ювенальной юстиции (JGG), активно применяет программы наставничества, социальные меры и образовательные курсы. Детская адвокатура участвует в выборе мер воздействия и защите прав подростка на всех этапах.</w:t>
      </w:r>
    </w:p>
    <w:p w:rsidR="0056188F" w:rsidRDefault="0056188F"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56188F">
        <w:rPr>
          <w:rFonts w:ascii="Times New Roman" w:eastAsia="Times New Roman" w:hAnsi="Times New Roman"/>
          <w:color w:val="000000"/>
          <w:sz w:val="28"/>
          <w:szCs w:val="28"/>
          <w:lang w:eastAsia="ru-RU"/>
        </w:rPr>
        <w:t xml:space="preserve">В Нидерландах действует принцип «минимального вмешательства». Законодательство предусматривает, что государство должно вмешиваться лишь в крайних случаях. Важную роль играют медиация и восстановительные практики. Адвокат защищает право ребёнка быть услышанным, объясняет ему процедуру и помогает сформировать собственную позицию. Судьи обязаны учитывать мнение несовершеннолетнего, если это позволяет его возраст </w:t>
      </w:r>
      <w:r>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 xml:space="preserve">и уровень развития. Такая модель позволяет снизить конфликтность </w:t>
      </w:r>
      <w:r>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 xml:space="preserve">и предотвратить повторные нарушения, поскольку решение, принятое </w:t>
      </w:r>
      <w:r>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с участием самого ребёнка, воспринимается им как справедливое и понятное.</w:t>
      </w:r>
    </w:p>
    <w:p w:rsidR="00231F76" w:rsidRPr="00231F76" w:rsidRDefault="00231F76"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231F76">
        <w:rPr>
          <w:rFonts w:ascii="Times New Roman" w:eastAsia="Times New Roman" w:hAnsi="Times New Roman"/>
          <w:color w:val="000000"/>
          <w:sz w:val="28"/>
          <w:szCs w:val="28"/>
          <w:lang w:eastAsia="ru-RU"/>
        </w:rPr>
        <w:t>Скандинавские страны используют межведомственный подход, и адвокат участвует в делах любого уровня сложности — от уголовных до семейных.</w:t>
      </w:r>
    </w:p>
    <w:p w:rsidR="0056188F" w:rsidRPr="00231F76" w:rsidRDefault="0056188F" w:rsidP="00231F76">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56188F">
        <w:rPr>
          <w:rFonts w:ascii="Times New Roman" w:eastAsia="Times New Roman" w:hAnsi="Times New Roman"/>
          <w:color w:val="000000"/>
          <w:sz w:val="28"/>
          <w:szCs w:val="28"/>
          <w:lang w:eastAsia="ru-RU"/>
        </w:rPr>
        <w:t xml:space="preserve">В США подход к ювенальной юстиции отличается высокой степенью региональной вариативности, поскольку законодательство штатов определяет большинство процедур. При этом во всех штатах действует обязательное назначение адвоката ребёнку, если дело связано с обвинением </w:t>
      </w:r>
      <w:r>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 xml:space="preserve">в правонарушении. Национальные стандарты, разработанные Американской коллегией юристов, требуют обеспечить полноценное и равноправное участие несовершеннолетнего в процессе. Ювенальные суды США традиционно применяют модель проблемно-ориентированного правосудия, </w:t>
      </w:r>
      <w:r w:rsidRPr="0056188F">
        <w:rPr>
          <w:rFonts w:ascii="Times New Roman" w:eastAsia="Times New Roman" w:hAnsi="Times New Roman"/>
          <w:color w:val="000000"/>
          <w:sz w:val="28"/>
          <w:szCs w:val="28"/>
          <w:lang w:eastAsia="ru-RU"/>
        </w:rPr>
        <w:lastRenderedPageBreak/>
        <w:t xml:space="preserve">уделяя внимание не только правовой стороне, но и семейной, образовательной и психологической. Детская адвокатура выступает важным звеном, позволяющим выявлять скрытые факторы, которые могли повлиять </w:t>
      </w:r>
      <w:r>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на поведение подростка. Это помогает формировать индивидуальный план мер поддержки, включающий терапевтические и социальные программы.</w:t>
      </w:r>
    </w:p>
    <w:p w:rsidR="0056188F" w:rsidRPr="0056188F" w:rsidRDefault="0056188F" w:rsidP="0056188F">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56188F">
        <w:rPr>
          <w:rFonts w:ascii="Times New Roman" w:eastAsia="Times New Roman" w:hAnsi="Times New Roman"/>
          <w:color w:val="000000"/>
          <w:sz w:val="28"/>
          <w:szCs w:val="28"/>
          <w:lang w:eastAsia="ru-RU"/>
        </w:rPr>
        <w:t xml:space="preserve">Сопоставление зарубежных моделей показывает: устойчивые системы формируются там, где защита прав несовершеннолетних обеспечивается </w:t>
      </w:r>
      <w:r w:rsidR="00EF20F3">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 xml:space="preserve">с самых первых минут </w:t>
      </w:r>
      <w:r w:rsidR="00EF20F3">
        <w:rPr>
          <w:rFonts w:ascii="Times New Roman" w:eastAsia="Times New Roman" w:hAnsi="Times New Roman"/>
          <w:color w:val="000000"/>
          <w:sz w:val="28"/>
          <w:szCs w:val="28"/>
          <w:lang w:eastAsia="ru-RU"/>
        </w:rPr>
        <w:t>жизни</w:t>
      </w:r>
      <w:r w:rsidRPr="0056188F">
        <w:rPr>
          <w:rFonts w:ascii="Times New Roman" w:eastAsia="Times New Roman" w:hAnsi="Times New Roman"/>
          <w:color w:val="000000"/>
          <w:sz w:val="28"/>
          <w:szCs w:val="28"/>
          <w:lang w:eastAsia="ru-RU"/>
        </w:rPr>
        <w:t xml:space="preserve"> ребёнка</w:t>
      </w:r>
      <w:r w:rsidR="00EF20F3">
        <w:rPr>
          <w:rFonts w:ascii="Times New Roman" w:eastAsia="Times New Roman" w:hAnsi="Times New Roman"/>
          <w:color w:val="000000"/>
          <w:sz w:val="28"/>
          <w:szCs w:val="28"/>
          <w:lang w:eastAsia="ru-RU"/>
        </w:rPr>
        <w:t>.</w:t>
      </w:r>
      <w:r w:rsidRPr="0056188F">
        <w:rPr>
          <w:rFonts w:ascii="Times New Roman" w:eastAsia="Times New Roman" w:hAnsi="Times New Roman"/>
          <w:color w:val="000000"/>
          <w:sz w:val="28"/>
          <w:szCs w:val="28"/>
          <w:lang w:eastAsia="ru-RU"/>
        </w:rPr>
        <w:t xml:space="preserve"> Опыт Франции, Германии, Нидерландов, скандинавских стран и США демонстрирует, что сочетание квалифицированной юридической поддержки, развитых социальных механизмов и специальной подготовки специалистов создаёт условия для реабилитации подростков и снижает вероятность повторных правонарушений.</w:t>
      </w:r>
    </w:p>
    <w:p w:rsidR="0056188F" w:rsidRDefault="0056188F" w:rsidP="0056188F">
      <w:pPr>
        <w:tabs>
          <w:tab w:val="left" w:pos="3416"/>
        </w:tabs>
        <w:spacing w:after="0" w:line="360" w:lineRule="auto"/>
        <w:ind w:firstLine="709"/>
        <w:jc w:val="both"/>
        <w:rPr>
          <w:rFonts w:ascii="Times New Roman" w:eastAsia="Times New Roman" w:hAnsi="Times New Roman"/>
          <w:color w:val="000000"/>
          <w:sz w:val="28"/>
          <w:szCs w:val="28"/>
          <w:lang w:eastAsia="ru-RU"/>
        </w:rPr>
      </w:pPr>
      <w:r w:rsidRPr="0056188F">
        <w:rPr>
          <w:rFonts w:ascii="Times New Roman" w:eastAsia="Times New Roman" w:hAnsi="Times New Roman"/>
          <w:color w:val="000000"/>
          <w:sz w:val="28"/>
          <w:szCs w:val="28"/>
          <w:lang w:eastAsia="ru-RU"/>
        </w:rPr>
        <w:t>Российская практика находится в фазе развития, однако нормы Конституции РФ и УПК РФ уже закладывают базу, способную превратиться</w:t>
      </w:r>
      <w:r w:rsidR="00EF20F3">
        <w:rPr>
          <w:rFonts w:ascii="Times New Roman" w:eastAsia="Times New Roman" w:hAnsi="Times New Roman"/>
          <w:color w:val="000000"/>
          <w:sz w:val="28"/>
          <w:szCs w:val="28"/>
          <w:lang w:eastAsia="ru-RU"/>
        </w:rPr>
        <w:t xml:space="preserve">           </w:t>
      </w:r>
      <w:r w:rsidRPr="0056188F">
        <w:rPr>
          <w:rFonts w:ascii="Times New Roman" w:eastAsia="Times New Roman" w:hAnsi="Times New Roman"/>
          <w:color w:val="000000"/>
          <w:sz w:val="28"/>
          <w:szCs w:val="28"/>
          <w:lang w:eastAsia="ru-RU"/>
        </w:rPr>
        <w:t xml:space="preserve"> в фундамент полноценной и устойчивой ювенальной системы. Мировой опыт наглядно показывает: участие детского адвоката позволяет строить правосудие, ориентированное на защиту личности ребёнка и поддержку его дальнейшего развития.</w:t>
      </w:r>
    </w:p>
    <w:p w:rsidR="00EF20F3" w:rsidRDefault="00EF20F3" w:rsidP="0056188F">
      <w:pPr>
        <w:tabs>
          <w:tab w:val="left" w:pos="3416"/>
        </w:tabs>
        <w:spacing w:after="0" w:line="360" w:lineRule="auto"/>
        <w:ind w:firstLine="709"/>
        <w:jc w:val="both"/>
        <w:rPr>
          <w:rFonts w:ascii="Times New Roman" w:eastAsia="Times New Roman" w:hAnsi="Times New Roman"/>
          <w:color w:val="000000"/>
          <w:sz w:val="28"/>
          <w:szCs w:val="28"/>
          <w:lang w:eastAsia="ru-RU"/>
        </w:rPr>
      </w:pPr>
    </w:p>
    <w:p w:rsidR="00DF70C2" w:rsidRDefault="00DF70C2"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060188" w:rsidRDefault="00060188" w:rsidP="00DF70C2">
      <w:pPr>
        <w:tabs>
          <w:tab w:val="left" w:pos="3416"/>
        </w:tabs>
        <w:spacing w:after="0" w:line="360" w:lineRule="auto"/>
        <w:jc w:val="both"/>
        <w:rPr>
          <w:rFonts w:ascii="Times New Roman" w:eastAsia="Times New Roman" w:hAnsi="Times New Roman"/>
          <w:color w:val="000000"/>
          <w:sz w:val="28"/>
          <w:szCs w:val="28"/>
          <w:lang w:eastAsia="ru-RU"/>
        </w:rPr>
      </w:pPr>
    </w:p>
    <w:p w:rsidR="00DF70C2" w:rsidRDefault="00DF70C2" w:rsidP="00DF70C2">
      <w:pPr>
        <w:spacing w:after="0" w:line="360" w:lineRule="auto"/>
        <w:ind w:firstLine="709"/>
        <w:jc w:val="center"/>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lastRenderedPageBreak/>
        <w:t>СПИСОК ИСПОЛЬЗОВАННЫХ ИСТОЧНИКОВ</w:t>
      </w:r>
    </w:p>
    <w:p w:rsidR="00DF70C2" w:rsidRDefault="00DF70C2" w:rsidP="00DF70C2">
      <w:pPr>
        <w:spacing w:after="0" w:line="360" w:lineRule="auto"/>
        <w:ind w:firstLine="709"/>
        <w:jc w:val="center"/>
        <w:rPr>
          <w:rFonts w:ascii="Times New Roman" w:eastAsia="Times New Roman" w:hAnsi="Times New Roman"/>
          <w:b/>
          <w:color w:val="000000"/>
          <w:sz w:val="28"/>
          <w:szCs w:val="28"/>
          <w:lang w:eastAsia="ru-RU"/>
        </w:rPr>
      </w:pPr>
    </w:p>
    <w:p w:rsidR="00D42741" w:rsidRDefault="00D42741" w:rsidP="00D42741">
      <w:pPr>
        <w:pStyle w:val="aa"/>
        <w:numPr>
          <w:ilvl w:val="0"/>
          <w:numId w:val="2"/>
        </w:numPr>
        <w:spacing w:line="360" w:lineRule="auto"/>
        <w:jc w:val="both"/>
        <w:rPr>
          <w:rFonts w:ascii="Times New Roman" w:hAnsi="Times New Roman"/>
          <w:sz w:val="28"/>
          <w:szCs w:val="28"/>
        </w:rPr>
      </w:pPr>
      <w:r w:rsidRPr="00D42741">
        <w:rPr>
          <w:rFonts w:ascii="Times New Roman" w:hAnsi="Times New Roman"/>
          <w:sz w:val="28"/>
          <w:szCs w:val="28"/>
        </w:rPr>
        <w:t>К</w:t>
      </w:r>
      <w:r w:rsidR="00CB39D9">
        <w:rPr>
          <w:rFonts w:ascii="Times New Roman" w:hAnsi="Times New Roman"/>
          <w:sz w:val="28"/>
          <w:szCs w:val="28"/>
        </w:rPr>
        <w:t>онституция Российской Федерации</w:t>
      </w:r>
      <w:r w:rsidRPr="00D42741">
        <w:rPr>
          <w:rFonts w:ascii="Times New Roman" w:hAnsi="Times New Roman"/>
          <w:sz w:val="28"/>
          <w:szCs w:val="28"/>
        </w:rPr>
        <w:t xml:space="preserve"> (принята всенародным голосованием 12.12.1993 с изменениями, одобренными в ходе общерос</w:t>
      </w:r>
      <w:r>
        <w:rPr>
          <w:rFonts w:ascii="Times New Roman" w:hAnsi="Times New Roman"/>
          <w:sz w:val="28"/>
          <w:szCs w:val="28"/>
        </w:rPr>
        <w:t xml:space="preserve">сийского голосования </w:t>
      </w:r>
      <w:r w:rsidR="00CB39D9">
        <w:rPr>
          <w:rFonts w:ascii="Times New Roman" w:hAnsi="Times New Roman"/>
          <w:sz w:val="28"/>
          <w:szCs w:val="28"/>
        </w:rPr>
        <w:t>04.10.2022</w:t>
      </w:r>
      <w:r>
        <w:rPr>
          <w:rFonts w:ascii="Times New Roman" w:hAnsi="Times New Roman"/>
          <w:sz w:val="28"/>
          <w:szCs w:val="28"/>
        </w:rPr>
        <w:t xml:space="preserve">) </w:t>
      </w:r>
      <w:r>
        <w:rPr>
          <w:rFonts w:ascii="Times New Roman" w:eastAsia="Times New Roman" w:hAnsi="Times New Roman"/>
          <w:color w:val="000000"/>
          <w:sz w:val="28"/>
          <w:szCs w:val="28"/>
          <w:lang w:eastAsia="ru-RU"/>
        </w:rPr>
        <w:t>// Официальный интернет-портал правовой информации [Электронный ресурс]. URL: http://www.pravo.gov.ru (дата обращения: 25.11.2025).</w:t>
      </w:r>
    </w:p>
    <w:p w:rsidR="000F4ABF" w:rsidRDefault="00CB39D9" w:rsidP="000F4ABF">
      <w:pPr>
        <w:pStyle w:val="aa"/>
        <w:numPr>
          <w:ilvl w:val="0"/>
          <w:numId w:val="2"/>
        </w:numPr>
        <w:spacing w:line="360" w:lineRule="auto"/>
        <w:jc w:val="both"/>
        <w:rPr>
          <w:rFonts w:ascii="Times New Roman" w:hAnsi="Times New Roman"/>
          <w:sz w:val="28"/>
          <w:szCs w:val="28"/>
        </w:rPr>
      </w:pPr>
      <w:r>
        <w:rPr>
          <w:rFonts w:ascii="Times New Roman" w:hAnsi="Times New Roman"/>
          <w:sz w:val="28"/>
          <w:szCs w:val="28"/>
        </w:rPr>
        <w:t>«</w:t>
      </w:r>
      <w:r w:rsidR="000F4ABF" w:rsidRPr="000F4ABF">
        <w:rPr>
          <w:rFonts w:ascii="Times New Roman" w:hAnsi="Times New Roman"/>
          <w:sz w:val="28"/>
          <w:szCs w:val="28"/>
        </w:rPr>
        <w:t>Уголовно-процессуаль</w:t>
      </w:r>
      <w:r>
        <w:rPr>
          <w:rFonts w:ascii="Times New Roman" w:hAnsi="Times New Roman"/>
          <w:sz w:val="28"/>
          <w:szCs w:val="28"/>
        </w:rPr>
        <w:t>ный кодекс Российской Федерации»</w:t>
      </w:r>
      <w:r w:rsidR="000F4ABF" w:rsidRPr="000F4ABF">
        <w:rPr>
          <w:rFonts w:ascii="Times New Roman" w:hAnsi="Times New Roman"/>
          <w:sz w:val="28"/>
          <w:szCs w:val="28"/>
        </w:rPr>
        <w:t xml:space="preserve"> от 18.12.2001 N 174-ФЗ (ред. от 27.10.2025)</w:t>
      </w:r>
      <w:r w:rsidR="000F4ABF">
        <w:rPr>
          <w:rFonts w:ascii="Times New Roman" w:hAnsi="Times New Roman"/>
          <w:sz w:val="28"/>
          <w:szCs w:val="28"/>
        </w:rPr>
        <w:t xml:space="preserve"> </w:t>
      </w:r>
      <w:r w:rsidR="000F4ABF">
        <w:rPr>
          <w:rFonts w:ascii="Times New Roman" w:eastAsia="Times New Roman" w:hAnsi="Times New Roman"/>
          <w:color w:val="000000"/>
          <w:sz w:val="28"/>
          <w:szCs w:val="28"/>
          <w:lang w:eastAsia="ru-RU"/>
        </w:rPr>
        <w:t>// Официальный интернет-портал правовой информации [Электронный ресурс]. URL: http://www.pravo.gov.ru (дата обращения: 25.11.2025).</w:t>
      </w:r>
    </w:p>
    <w:p w:rsidR="00803718" w:rsidRDefault="00803718" w:rsidP="00803718">
      <w:pPr>
        <w:pStyle w:val="aa"/>
        <w:numPr>
          <w:ilvl w:val="0"/>
          <w:numId w:val="2"/>
        </w:numPr>
        <w:spacing w:after="0" w:line="360" w:lineRule="auto"/>
        <w:jc w:val="both"/>
        <w:rPr>
          <w:rFonts w:ascii="Times New Roman" w:hAnsi="Times New Roman"/>
          <w:sz w:val="28"/>
          <w:szCs w:val="28"/>
        </w:rPr>
      </w:pPr>
      <w:r w:rsidRPr="001615DE">
        <w:rPr>
          <w:rFonts w:ascii="Times New Roman" w:hAnsi="Times New Roman"/>
          <w:sz w:val="28"/>
          <w:szCs w:val="28"/>
        </w:rPr>
        <w:t>Автономов А. С. Ювенальная юстиция : учебное пособие. — М. : Издательство «Российский благотворительный фонд «Нет алкоголизму и наркомании»» (НАН), 2009. — 186 с.</w:t>
      </w:r>
    </w:p>
    <w:p w:rsidR="00803718" w:rsidRDefault="00803718" w:rsidP="00803718">
      <w:pPr>
        <w:pStyle w:val="aa"/>
        <w:numPr>
          <w:ilvl w:val="0"/>
          <w:numId w:val="2"/>
        </w:numPr>
        <w:spacing w:after="0" w:line="360" w:lineRule="auto"/>
        <w:jc w:val="both"/>
        <w:rPr>
          <w:rFonts w:ascii="Times New Roman" w:hAnsi="Times New Roman"/>
          <w:sz w:val="28"/>
          <w:szCs w:val="28"/>
        </w:rPr>
      </w:pPr>
      <w:r w:rsidRPr="001615DE">
        <w:rPr>
          <w:rFonts w:ascii="Times New Roman" w:hAnsi="Times New Roman"/>
          <w:sz w:val="28"/>
          <w:szCs w:val="28"/>
        </w:rPr>
        <w:t>Гета М. Р., Писаревская Е. А. Ювенальная юстиция: проблемы и перспективы. — Новокузнецк : СибГИУ, 2013. — 164 с.</w:t>
      </w:r>
    </w:p>
    <w:p w:rsidR="00667020" w:rsidRDefault="00667020" w:rsidP="00803718">
      <w:pPr>
        <w:pStyle w:val="aa"/>
        <w:numPr>
          <w:ilvl w:val="0"/>
          <w:numId w:val="2"/>
        </w:numPr>
        <w:spacing w:after="0" w:line="360" w:lineRule="auto"/>
        <w:jc w:val="both"/>
        <w:rPr>
          <w:rFonts w:ascii="Times New Roman" w:hAnsi="Times New Roman"/>
          <w:sz w:val="28"/>
          <w:szCs w:val="28"/>
        </w:rPr>
      </w:pPr>
      <w:r w:rsidRPr="001615DE">
        <w:rPr>
          <w:rFonts w:ascii="Times New Roman" w:hAnsi="Times New Roman"/>
          <w:sz w:val="28"/>
          <w:szCs w:val="28"/>
        </w:rPr>
        <w:t>Пронин А. А. Социально-правовая защита детства в России. — М. : ВЛАДОС, 2010. — 304 с.</w:t>
      </w:r>
    </w:p>
    <w:p w:rsidR="004D45D0" w:rsidRDefault="004D45D0"/>
    <w:sectPr w:rsidR="004D45D0" w:rsidSect="00060188">
      <w:headerReference w:type="default"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441" w:rsidRDefault="00B94441" w:rsidP="00DF70C2">
      <w:pPr>
        <w:spacing w:after="0" w:line="240" w:lineRule="auto"/>
      </w:pPr>
      <w:r>
        <w:separator/>
      </w:r>
    </w:p>
  </w:endnote>
  <w:endnote w:type="continuationSeparator" w:id="1">
    <w:p w:rsidR="00B94441" w:rsidRDefault="00B94441" w:rsidP="00DF70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066758"/>
    </w:sdtPr>
    <w:sdtContent>
      <w:p w:rsidR="00E9562E" w:rsidRDefault="00C30663">
        <w:pPr>
          <w:pStyle w:val="a8"/>
          <w:jc w:val="center"/>
        </w:pPr>
        <w:r>
          <w:fldChar w:fldCharType="begin"/>
        </w:r>
        <w:r w:rsidR="005E36E3">
          <w:instrText>PAGE   \* MERGEFORMAT</w:instrText>
        </w:r>
        <w:r>
          <w:fldChar w:fldCharType="separate"/>
        </w:r>
        <w:r w:rsidR="00314927">
          <w:rPr>
            <w:noProof/>
          </w:rPr>
          <w:t>7</w:t>
        </w:r>
        <w:r>
          <w:fldChar w:fldCharType="end"/>
        </w:r>
      </w:p>
    </w:sdtContent>
  </w:sdt>
  <w:p w:rsidR="00E9562E" w:rsidRDefault="00B9444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441" w:rsidRDefault="00B94441" w:rsidP="00DF70C2">
      <w:pPr>
        <w:spacing w:after="0" w:line="240" w:lineRule="auto"/>
      </w:pPr>
      <w:r>
        <w:separator/>
      </w:r>
    </w:p>
  </w:footnote>
  <w:footnote w:type="continuationSeparator" w:id="1">
    <w:p w:rsidR="00B94441" w:rsidRDefault="00B94441" w:rsidP="00DF70C2">
      <w:pPr>
        <w:spacing w:after="0" w:line="240" w:lineRule="auto"/>
      </w:pPr>
      <w:r>
        <w:continuationSeparator/>
      </w:r>
    </w:p>
  </w:footnote>
  <w:footnote w:id="2">
    <w:p w:rsidR="00803718" w:rsidRPr="00803718" w:rsidRDefault="00803718">
      <w:pPr>
        <w:pStyle w:val="a4"/>
        <w:rPr>
          <w:rFonts w:ascii="Times New Roman" w:hAnsi="Times New Roman"/>
          <w:sz w:val="20"/>
          <w:szCs w:val="20"/>
        </w:rPr>
      </w:pPr>
      <w:r w:rsidRPr="00803718">
        <w:rPr>
          <w:rStyle w:val="a3"/>
          <w:rFonts w:ascii="Times New Roman" w:hAnsi="Times New Roman"/>
          <w:sz w:val="20"/>
          <w:szCs w:val="20"/>
        </w:rPr>
        <w:footnoteRef/>
      </w:r>
      <w:r w:rsidRPr="00803718">
        <w:rPr>
          <w:rFonts w:ascii="Times New Roman" w:hAnsi="Times New Roman"/>
          <w:sz w:val="20"/>
          <w:szCs w:val="20"/>
        </w:rPr>
        <w:t xml:space="preserve"> Гета М. Р., Писаревская Е. А. Ювенальная юстиция: проблемы и перспективы. — Новокузнецк : СибГИУ, 2013. — 164 с.</w:t>
      </w:r>
    </w:p>
  </w:footnote>
  <w:footnote w:id="3">
    <w:p w:rsidR="00803718" w:rsidRPr="00803718" w:rsidRDefault="00803718">
      <w:pPr>
        <w:pStyle w:val="a4"/>
        <w:rPr>
          <w:rFonts w:ascii="Times New Roman" w:hAnsi="Times New Roman"/>
          <w:sz w:val="20"/>
          <w:szCs w:val="20"/>
        </w:rPr>
      </w:pPr>
      <w:r w:rsidRPr="00803718">
        <w:rPr>
          <w:rStyle w:val="a3"/>
          <w:rFonts w:ascii="Times New Roman" w:hAnsi="Times New Roman"/>
          <w:sz w:val="20"/>
          <w:szCs w:val="20"/>
        </w:rPr>
        <w:footnoteRef/>
      </w:r>
      <w:r w:rsidRPr="00803718">
        <w:rPr>
          <w:rFonts w:ascii="Times New Roman" w:hAnsi="Times New Roman"/>
          <w:sz w:val="20"/>
          <w:szCs w:val="20"/>
        </w:rPr>
        <w:t xml:space="preserve"> Автономов А. С. Ювенальная юстиция : учебное пособие. — М. : Издательство «Российский благотворительный фонд «Нет алкоголизму и наркомании»» (НАН), 2009. — 186 с.</w:t>
      </w:r>
    </w:p>
  </w:footnote>
  <w:footnote w:id="4">
    <w:p w:rsidR="00667020" w:rsidRPr="00667020" w:rsidRDefault="00667020">
      <w:pPr>
        <w:pStyle w:val="a4"/>
        <w:rPr>
          <w:rFonts w:ascii="Times New Roman" w:hAnsi="Times New Roman"/>
          <w:sz w:val="20"/>
          <w:szCs w:val="20"/>
        </w:rPr>
      </w:pPr>
      <w:r w:rsidRPr="00667020">
        <w:rPr>
          <w:rStyle w:val="a3"/>
          <w:rFonts w:ascii="Times New Roman" w:hAnsi="Times New Roman"/>
          <w:sz w:val="20"/>
          <w:szCs w:val="20"/>
        </w:rPr>
        <w:footnoteRef/>
      </w:r>
      <w:r w:rsidRPr="00667020">
        <w:rPr>
          <w:rFonts w:ascii="Times New Roman" w:hAnsi="Times New Roman"/>
          <w:sz w:val="20"/>
          <w:szCs w:val="20"/>
        </w:rPr>
        <w:t xml:space="preserve"> Пронин А. А. Социально-правовая защита детства в России. — М. : ВЛАДОС, 2010. — 304 с.</w:t>
      </w:r>
    </w:p>
  </w:footnote>
  <w:footnote w:id="5">
    <w:p w:rsidR="000F4ABF" w:rsidRPr="000F4ABF" w:rsidRDefault="000F4ABF" w:rsidP="000F4ABF">
      <w:pPr>
        <w:spacing w:line="360" w:lineRule="auto"/>
        <w:jc w:val="both"/>
        <w:rPr>
          <w:rFonts w:ascii="Times New Roman" w:hAnsi="Times New Roman"/>
          <w:sz w:val="20"/>
          <w:szCs w:val="20"/>
        </w:rPr>
      </w:pPr>
      <w:r w:rsidRPr="000F4ABF">
        <w:rPr>
          <w:rStyle w:val="a3"/>
          <w:rFonts w:ascii="Times New Roman" w:hAnsi="Times New Roman"/>
          <w:sz w:val="20"/>
          <w:szCs w:val="20"/>
        </w:rPr>
        <w:footnoteRef/>
      </w:r>
      <w:r w:rsidRPr="000F4ABF">
        <w:rPr>
          <w:rFonts w:ascii="Times New Roman" w:hAnsi="Times New Roman"/>
          <w:sz w:val="20"/>
          <w:szCs w:val="20"/>
        </w:rPr>
        <w:t xml:space="preserve"> "Конституция Российской Федерации" (принята всенародным голосованием 12.12.1993 с изменениями, одобренными в ходе общероссийского голосования 01.07.2020) </w:t>
      </w:r>
      <w:r w:rsidRPr="000F4ABF">
        <w:rPr>
          <w:rFonts w:ascii="Times New Roman" w:eastAsia="Times New Roman" w:hAnsi="Times New Roman"/>
          <w:color w:val="000000"/>
          <w:sz w:val="20"/>
          <w:szCs w:val="20"/>
          <w:lang w:eastAsia="ru-RU"/>
        </w:rPr>
        <w:t>// Официальный интернет-портал правовой информации [Электронный ресурс]. URL: http://www.pravo.gov.ru (дата обращения: 25.11.2025).</w:t>
      </w:r>
    </w:p>
  </w:footnote>
  <w:footnote w:id="6">
    <w:p w:rsidR="000F4ABF" w:rsidRPr="000F4ABF" w:rsidRDefault="000F4ABF">
      <w:pPr>
        <w:pStyle w:val="a4"/>
        <w:rPr>
          <w:rFonts w:ascii="Times New Roman" w:hAnsi="Times New Roman"/>
          <w:sz w:val="20"/>
          <w:szCs w:val="20"/>
        </w:rPr>
      </w:pPr>
      <w:r w:rsidRPr="000F4ABF">
        <w:rPr>
          <w:rStyle w:val="a3"/>
          <w:rFonts w:ascii="Times New Roman" w:hAnsi="Times New Roman"/>
          <w:sz w:val="20"/>
          <w:szCs w:val="20"/>
        </w:rPr>
        <w:footnoteRef/>
      </w:r>
      <w:r w:rsidRPr="000F4ABF">
        <w:rPr>
          <w:rFonts w:ascii="Times New Roman" w:hAnsi="Times New Roman"/>
          <w:sz w:val="20"/>
          <w:szCs w:val="20"/>
        </w:rPr>
        <w:t xml:space="preserve"> </w:t>
      </w:r>
      <w:r>
        <w:rPr>
          <w:rFonts w:ascii="Times New Roman" w:hAnsi="Times New Roman"/>
          <w:sz w:val="20"/>
          <w:szCs w:val="20"/>
        </w:rPr>
        <w:t>.</w:t>
      </w:r>
      <w:r w:rsidRPr="000F4ABF">
        <w:rPr>
          <w:rFonts w:ascii="Times New Roman" w:hAnsi="Times New Roman"/>
          <w:sz w:val="20"/>
          <w:szCs w:val="20"/>
        </w:rPr>
        <w:t>"Уголовно-процессуальный кодекс Российской Федерации" от 18.12.2001 N 174-ФЗ (ред. от 27.10.2025) // Официальный интернет-портал правовой информации [Электронный ресурс]. URL: http://www.pravo.gov.ru (дата обращения: 25.11.2025).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62E" w:rsidRDefault="00B94441">
    <w:pPr>
      <w:pStyle w:val="a6"/>
    </w:pPr>
  </w:p>
  <w:p w:rsidR="00E9562E" w:rsidRDefault="00B9444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BA4878"/>
    <w:multiLevelType w:val="multilevel"/>
    <w:tmpl w:val="5ABA4878"/>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6A94DCDA"/>
    <w:multiLevelType w:val="singleLevel"/>
    <w:tmpl w:val="6A94DCDA"/>
    <w:lvl w:ilvl="0">
      <w:start w:val="1"/>
      <w:numFmt w:val="decimal"/>
      <w:suff w:val="space"/>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F70C2"/>
    <w:rsid w:val="00060188"/>
    <w:rsid w:val="000F4ABF"/>
    <w:rsid w:val="001615DE"/>
    <w:rsid w:val="00231F76"/>
    <w:rsid w:val="00314927"/>
    <w:rsid w:val="004D45D0"/>
    <w:rsid w:val="0056188F"/>
    <w:rsid w:val="005E36E3"/>
    <w:rsid w:val="005E4CF1"/>
    <w:rsid w:val="0063517E"/>
    <w:rsid w:val="00667020"/>
    <w:rsid w:val="006E1BC2"/>
    <w:rsid w:val="007E5257"/>
    <w:rsid w:val="00803718"/>
    <w:rsid w:val="00A706B4"/>
    <w:rsid w:val="00AD00CC"/>
    <w:rsid w:val="00B16C48"/>
    <w:rsid w:val="00B94441"/>
    <w:rsid w:val="00C056D5"/>
    <w:rsid w:val="00C13509"/>
    <w:rsid w:val="00C30663"/>
    <w:rsid w:val="00CB39D9"/>
    <w:rsid w:val="00D0136D"/>
    <w:rsid w:val="00D42741"/>
    <w:rsid w:val="00D740EB"/>
    <w:rsid w:val="00DF70C2"/>
    <w:rsid w:val="00E00289"/>
    <w:rsid w:val="00E7208B"/>
    <w:rsid w:val="00EF20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DF70C2"/>
    <w:rPr>
      <w:vertAlign w:val="superscript"/>
    </w:rPr>
  </w:style>
  <w:style w:type="paragraph" w:styleId="a4">
    <w:name w:val="footnote text"/>
    <w:basedOn w:val="a"/>
    <w:link w:val="a5"/>
    <w:uiPriority w:val="99"/>
    <w:semiHidden/>
    <w:unhideWhenUsed/>
    <w:rsid w:val="00DF70C2"/>
    <w:pPr>
      <w:snapToGrid w:val="0"/>
    </w:pPr>
    <w:rPr>
      <w:sz w:val="18"/>
      <w:szCs w:val="18"/>
    </w:rPr>
  </w:style>
  <w:style w:type="character" w:customStyle="1" w:styleId="a5">
    <w:name w:val="Текст сноски Знак"/>
    <w:basedOn w:val="a0"/>
    <w:link w:val="a4"/>
    <w:uiPriority w:val="99"/>
    <w:semiHidden/>
    <w:rsid w:val="00DF70C2"/>
    <w:rPr>
      <w:rFonts w:ascii="Calibri" w:eastAsia="Calibri" w:hAnsi="Calibri" w:cs="Times New Roman"/>
      <w:sz w:val="18"/>
      <w:szCs w:val="18"/>
    </w:rPr>
  </w:style>
  <w:style w:type="paragraph" w:styleId="a6">
    <w:name w:val="header"/>
    <w:basedOn w:val="a"/>
    <w:link w:val="a7"/>
    <w:uiPriority w:val="99"/>
    <w:unhideWhenUsed/>
    <w:qFormat/>
    <w:rsid w:val="00DF70C2"/>
    <w:pPr>
      <w:tabs>
        <w:tab w:val="center" w:pos="4677"/>
        <w:tab w:val="right" w:pos="9355"/>
      </w:tabs>
      <w:spacing w:after="0" w:line="240" w:lineRule="auto"/>
    </w:pPr>
  </w:style>
  <w:style w:type="character" w:customStyle="1" w:styleId="a7">
    <w:name w:val="Верхний колонтитул Знак"/>
    <w:basedOn w:val="a0"/>
    <w:link w:val="a6"/>
    <w:uiPriority w:val="99"/>
    <w:qFormat/>
    <w:rsid w:val="00DF70C2"/>
    <w:rPr>
      <w:rFonts w:ascii="Calibri" w:eastAsia="Calibri" w:hAnsi="Calibri" w:cs="Times New Roman"/>
    </w:rPr>
  </w:style>
  <w:style w:type="paragraph" w:styleId="a8">
    <w:name w:val="footer"/>
    <w:basedOn w:val="a"/>
    <w:link w:val="a9"/>
    <w:uiPriority w:val="99"/>
    <w:unhideWhenUsed/>
    <w:qFormat/>
    <w:rsid w:val="00DF70C2"/>
    <w:pPr>
      <w:tabs>
        <w:tab w:val="center" w:pos="4677"/>
        <w:tab w:val="right" w:pos="9355"/>
      </w:tabs>
      <w:spacing w:after="0" w:line="240" w:lineRule="auto"/>
    </w:pPr>
  </w:style>
  <w:style w:type="character" w:customStyle="1" w:styleId="a9">
    <w:name w:val="Нижний колонтитул Знак"/>
    <w:basedOn w:val="a0"/>
    <w:link w:val="a8"/>
    <w:uiPriority w:val="99"/>
    <w:qFormat/>
    <w:rsid w:val="00DF70C2"/>
    <w:rPr>
      <w:rFonts w:ascii="Calibri" w:eastAsia="Calibri" w:hAnsi="Calibri" w:cs="Times New Roman"/>
    </w:rPr>
  </w:style>
  <w:style w:type="paragraph" w:styleId="aa">
    <w:name w:val="List Paragraph"/>
    <w:basedOn w:val="a"/>
    <w:uiPriority w:val="34"/>
    <w:qFormat/>
    <w:rsid w:val="00DF70C2"/>
    <w:pPr>
      <w:ind w:left="720"/>
      <w:contextualSpacing/>
    </w:pPr>
  </w:style>
  <w:style w:type="paragraph" w:styleId="ab">
    <w:name w:val="Balloon Text"/>
    <w:basedOn w:val="a"/>
    <w:link w:val="ac"/>
    <w:uiPriority w:val="99"/>
    <w:semiHidden/>
    <w:unhideWhenUsed/>
    <w:rsid w:val="00DF70C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F70C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ECB8D-BAF3-4A40-AC19-65F18EFB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1825</Words>
  <Characters>10404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Левадная Дарья</dc:creator>
  <cp:lastModifiedBy>Левадная Дарья</cp:lastModifiedBy>
  <cp:revision>7</cp:revision>
  <dcterms:created xsi:type="dcterms:W3CDTF">2025-12-09T09:19:00Z</dcterms:created>
  <dcterms:modified xsi:type="dcterms:W3CDTF">2025-12-09T11:12:00Z</dcterms:modified>
</cp:coreProperties>
</file>