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712AA" w14:textId="77777777" w:rsidR="007E55C3" w:rsidRDefault="00000000" w:rsidP="008E0B35">
      <w:pPr>
        <w:pStyle w:val="a4"/>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spacing w:before="0" w:line="240" w:lineRule="auto"/>
        <w:jc w:val="center"/>
        <w:rPr>
          <w:rFonts w:ascii="Times New Roman" w:eastAsia="Times New Roman" w:hAnsi="Times New Roman" w:cs="Times New Roman"/>
        </w:rPr>
      </w:pPr>
      <w:r>
        <w:rPr>
          <w:rFonts w:ascii="Times New Roman" w:hAnsi="Times New Roman"/>
        </w:rPr>
        <w:t>Международно-правовой статус</w:t>
      </w:r>
    </w:p>
    <w:p w14:paraId="23C3AC72" w14:textId="5844B638" w:rsidR="007E55C3" w:rsidRDefault="00000000" w:rsidP="008E0B35">
      <w:pPr>
        <w:pStyle w:val="a4"/>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spacing w:before="0" w:line="240" w:lineRule="auto"/>
        <w:jc w:val="center"/>
        <w:rPr>
          <w:rFonts w:ascii="Times New Roman" w:eastAsia="Times New Roman" w:hAnsi="Times New Roman" w:cs="Times New Roman"/>
        </w:rPr>
      </w:pPr>
      <w:r>
        <w:rPr>
          <w:rFonts w:ascii="Times New Roman" w:hAnsi="Times New Roman"/>
        </w:rPr>
        <w:t>Арктики в условиях изменения климата</w:t>
      </w:r>
      <w:r w:rsidR="007D2F30">
        <w:rPr>
          <w:rFonts w:ascii="Times New Roman" w:hAnsi="Times New Roman"/>
        </w:rPr>
        <w:br/>
        <w:t>Выполнили: Абдуллина Арина, Миронова Алиса</w:t>
      </w:r>
    </w:p>
    <w:p w14:paraId="24BB5D18" w14:textId="77777777" w:rsidR="007E55C3" w:rsidRDefault="007E55C3" w:rsidP="008E0B35">
      <w:pPr>
        <w:pStyle w:val="a5"/>
        <w:ind w:firstLine="567"/>
        <w:jc w:val="both"/>
        <w:rPr>
          <w:rFonts w:ascii="Times New Roman" w:eastAsia="Times New Roman" w:hAnsi="Times New Roman" w:cs="Times New Roman"/>
          <w:sz w:val="24"/>
          <w:szCs w:val="24"/>
        </w:rPr>
      </w:pPr>
    </w:p>
    <w:p w14:paraId="6BAD9292" w14:textId="69C592C5" w:rsidR="007E55C3" w:rsidRDefault="00000000" w:rsidP="008E0B35">
      <w:pPr>
        <w:pStyle w:val="a4"/>
        <w:suppressAutoHyphens/>
        <w:spacing w:before="0" w:after="240" w:line="240" w:lineRule="auto"/>
        <w:ind w:firstLine="567"/>
        <w:jc w:val="both"/>
        <w:rPr>
          <w:rFonts w:ascii="Times New Roman" w:eastAsia="Times New Roman" w:hAnsi="Times New Roman" w:cs="Times New Roman"/>
        </w:rPr>
      </w:pPr>
      <w:r>
        <w:rPr>
          <w:rFonts w:ascii="Times New Roman" w:hAnsi="Times New Roman"/>
        </w:rPr>
        <w:t>Изменение климата становится одним из ключевых факторов, оказывающих влияние на международно-правовой статус Арктики. Таяние морских льдов, рост доступности природных ресурсов, увеличение навигационной активности и трансформация экосистем создают новые вызовы для правового регулирования региона. Арктика перестаёт быть труднодоступным пространством и всё более превращается в политико-правовую арену, где интересы прибрежных государств, международного сообщества и коренных народов пересекаются и требуют согласованного правового ответа. В этих условиях особую значимость приобретают нормы международного морского права, региональные механизмы сотрудничества и подходы к экологическому управлению.</w:t>
      </w:r>
    </w:p>
    <w:p w14:paraId="415F0519" w14:textId="5B9C844E" w:rsidR="007E55C3" w:rsidRDefault="00000000" w:rsidP="008E0B35">
      <w:pPr>
        <w:pStyle w:val="a4"/>
        <w:suppressAutoHyphens/>
        <w:spacing w:before="0" w:after="240" w:line="240" w:lineRule="auto"/>
        <w:ind w:firstLine="567"/>
        <w:jc w:val="both"/>
        <w:rPr>
          <w:rFonts w:ascii="Times New Roman" w:eastAsia="Times New Roman" w:hAnsi="Times New Roman" w:cs="Times New Roman"/>
        </w:rPr>
      </w:pPr>
      <w:r>
        <w:rPr>
          <w:rFonts w:ascii="Times New Roman" w:hAnsi="Times New Roman"/>
        </w:rPr>
        <w:t xml:space="preserve">Основой международно-правового регулирования Арктики остаётся Конвенция ООН по морскому праву 1982 года, которая определяет режимы морских зон и порядок разграничения пространств, включая возможности государств по расширению границ континентального шельфа. Конвенция чётко закрепляет суверенные права прибрежных государств на ресурсы в пределах их исключительных экономических зон и на континентальном шельфе, а также устанавливает процедуры подачи заявок на расширение внешних границ шельфа. Важным политическим документом, подтверждающим применимость действующего морского права к Арктике, является </w:t>
      </w:r>
      <w:proofErr w:type="spellStart"/>
      <w:r>
        <w:rPr>
          <w:rFonts w:ascii="Times New Roman" w:hAnsi="Times New Roman"/>
        </w:rPr>
        <w:t>Илулиссатская</w:t>
      </w:r>
      <w:proofErr w:type="spellEnd"/>
      <w:r>
        <w:rPr>
          <w:rFonts w:ascii="Times New Roman" w:hAnsi="Times New Roman"/>
        </w:rPr>
        <w:t xml:space="preserve"> декларация, в которой прибрежные государства подтвердили отсутствие правового вакуума и выразили готовность решать территориальные вопросы в соответствии с международным правом, опираясь на нормы Конвенции. Тем самым Арктика была признана регионом, в котором действующие международные нормы являются достаточными основами регулирования.</w:t>
      </w:r>
    </w:p>
    <w:p w14:paraId="1E01BE2A" w14:textId="1E8C7E07" w:rsidR="007E55C3" w:rsidRDefault="00000000" w:rsidP="008E0B35">
      <w:pPr>
        <w:pStyle w:val="a4"/>
        <w:suppressAutoHyphens/>
        <w:spacing w:before="0" w:after="240" w:line="240" w:lineRule="auto"/>
        <w:ind w:firstLine="567"/>
        <w:jc w:val="both"/>
        <w:rPr>
          <w:rFonts w:ascii="Times New Roman" w:eastAsia="Times New Roman" w:hAnsi="Times New Roman" w:cs="Times New Roman"/>
        </w:rPr>
      </w:pPr>
      <w:r>
        <w:rPr>
          <w:rFonts w:ascii="Times New Roman" w:hAnsi="Times New Roman"/>
        </w:rPr>
        <w:t>Значимую роль в управлении регионом продолжает играть Арктический совет — межправительственный форум, ориентированный на экологическую безопасность, устойчивое развитие и защиту интересов коренных народов. Хотя Совет не обладает правотворческими полномочиями, его решения и рекомендации формируют основу согласованных действий государств, особенно в вопросах мониторинга климатических изменений, предотвращения аварий, регулирования рыболовства и защиты биоразнообразия. В условиях ухудшения политической обстановки после 2022 года деятельность Совета была ограничена, что продемонстрировало зависимость регионального управления от международной стабильности и необходимость диверсификации форматов сотрудничества.</w:t>
      </w:r>
    </w:p>
    <w:p w14:paraId="605E4FD3" w14:textId="0ECB9648" w:rsidR="007E55C3" w:rsidRDefault="00000000" w:rsidP="008E0B35">
      <w:pPr>
        <w:pStyle w:val="a4"/>
        <w:suppressAutoHyphens/>
        <w:spacing w:before="0" w:after="240" w:line="240" w:lineRule="auto"/>
        <w:ind w:firstLine="567"/>
        <w:jc w:val="both"/>
        <w:rPr>
          <w:rFonts w:ascii="Times New Roman" w:eastAsia="Times New Roman" w:hAnsi="Times New Roman" w:cs="Times New Roman"/>
        </w:rPr>
      </w:pPr>
      <w:r>
        <w:rPr>
          <w:rFonts w:ascii="Times New Roman" w:hAnsi="Times New Roman"/>
        </w:rPr>
        <w:t xml:space="preserve">Одним из центральных факторов, влияющих на правовой режим Арктики, является вопрос разграничения континентального шельфа. Прибрежные государства стремятся юридически закрепить права на подводные районы, где могут находиться значительные запасы минеральных ресурсов. Особую сложность вызывают перекрывающиеся заявки России, Канады и Дании в отношении хребта Ломоносова и прилегающих районов Северного Ледовитого океана. Рассмотрение заявок происходит в Комиссии по границам континентального шельфа, которая оценивает научную обоснованность данных, однако её выводы не носят обязательного характера, что требует последующих межгосударственных </w:t>
      </w:r>
      <w:r>
        <w:rPr>
          <w:rFonts w:ascii="Times New Roman" w:hAnsi="Times New Roman"/>
        </w:rPr>
        <w:lastRenderedPageBreak/>
        <w:t>переговоров. Эти процессы становятся всё более актуальными по мере роста экономической значимости региона, требуя от государств дипломатической гибкости и готовности к поиску компромиссов.</w:t>
      </w:r>
    </w:p>
    <w:p w14:paraId="5313E8CD" w14:textId="3351036D" w:rsidR="007E55C3" w:rsidRDefault="00000000" w:rsidP="008E0B35">
      <w:pPr>
        <w:pStyle w:val="a4"/>
        <w:suppressAutoHyphens/>
        <w:spacing w:before="0" w:after="240" w:line="240" w:lineRule="auto"/>
        <w:ind w:firstLine="567"/>
        <w:jc w:val="both"/>
        <w:rPr>
          <w:rFonts w:ascii="Times New Roman" w:eastAsia="Times New Roman" w:hAnsi="Times New Roman" w:cs="Times New Roman"/>
        </w:rPr>
      </w:pPr>
      <w:r>
        <w:rPr>
          <w:rFonts w:ascii="Times New Roman" w:hAnsi="Times New Roman"/>
        </w:rPr>
        <w:t>Существенные изменения климатического характера оказывают влияние и на международный режим судоходства. По мере сокращения льдов открываются возможности для активного использования Северного морского пути и Северо-Западного прохода. Россия и Канада трактуют эти маршруты как части своих внутренних вод и устанавливают национальные правила прохода, включая уведомительный и разрешительный режимы. Однако ряд государств придерживается позиции, что данные пути соответствуют критериям международных проливов, что предполагает право свободного транзитного прохода. Разногласия по этому вопросу остаются одним из наиболее острых правовых споров в Арктике, поскольку статус пролива определяется не только географическими, но и функциональными критериями, включая регулярность судоходства и его значение для международного сообщения. С ростом числа торговых и транспортных маршрутов эта дискуссия будет лишь усиливаться.</w:t>
      </w:r>
    </w:p>
    <w:p w14:paraId="78CC6659" w14:textId="45FD3A13" w:rsidR="007E55C3" w:rsidRDefault="00000000" w:rsidP="008E0B35">
      <w:pPr>
        <w:pStyle w:val="a4"/>
        <w:suppressAutoHyphens/>
        <w:spacing w:before="0" w:after="240" w:line="240" w:lineRule="auto"/>
        <w:ind w:firstLine="567"/>
        <w:jc w:val="both"/>
        <w:rPr>
          <w:rFonts w:ascii="Times New Roman" w:eastAsia="Times New Roman" w:hAnsi="Times New Roman" w:cs="Times New Roman"/>
        </w:rPr>
      </w:pPr>
      <w:r>
        <w:rPr>
          <w:rFonts w:ascii="Times New Roman" w:hAnsi="Times New Roman"/>
        </w:rPr>
        <w:t>Наряду с вопросами суверенитета и судоходства растёт актуальность экологических и ресурсных вызовов. Арктическая экосистема отличается особой уязвимостью, а последствия возможных аварий, связанных с нефтедобычей или транспортировкой, могут быть катастрофическими. Восстановление арктических биоценозов требует десятилетий, что делает необходимым применение принципов предосторожности и тщательную оценку воздействия на окружающую среду. Кроме того, таяние льдов вызывает изменения в миграции морских видов, что приводит к расширению промысловых районов и требует международных соглашений, предотвращающих нерегулируемое рыболовство. Примером такой инициативы является международное соглашение о предотвращении нерегулируемого рыболовства в центральной части Северного Ледовитого океана, направленное на предупреждение неконтролируемой добычи в открывающихся водах.</w:t>
      </w:r>
    </w:p>
    <w:p w14:paraId="36ADE89A" w14:textId="1EA9BDB3" w:rsidR="007E55C3" w:rsidRDefault="00000000" w:rsidP="008E0B35">
      <w:pPr>
        <w:pStyle w:val="a4"/>
        <w:suppressAutoHyphens/>
        <w:spacing w:before="0" w:after="240" w:line="240" w:lineRule="auto"/>
        <w:ind w:firstLine="567"/>
        <w:jc w:val="both"/>
        <w:rPr>
          <w:rFonts w:ascii="Times New Roman" w:eastAsia="Times New Roman" w:hAnsi="Times New Roman" w:cs="Times New Roman"/>
        </w:rPr>
      </w:pPr>
      <w:r>
        <w:rPr>
          <w:rFonts w:ascii="Times New Roman" w:hAnsi="Times New Roman"/>
        </w:rPr>
        <w:t>Особое место в международно-правовом статусе Арктики занимает вопрос защиты прав коренных народов. Климатические и экономические изменения затрагивают их традиционный образ жизни, промыслы и культурные практики, создавая необходимость усиления правовых механизмов их участия в принятии решений. В международном праве укрепляется принцип обязательных консультаций с коренными общинами, отражённый в документах ООН и региональных механизмах. Институциональное участие коренных народов в деятельности Арктического совета позволяет им влиять на формирование экологических и социально-экономических решений, однако на практике существуют трудности, связанные с реализацией этих прав на национальном уровне. В частности, в ряде государств требует уточнения и гармонизации законодательство о социальных гарантиях и территориях традиционного природопользования.</w:t>
      </w:r>
    </w:p>
    <w:p w14:paraId="37BA8BDF" w14:textId="70DF4AD9" w:rsidR="007E55C3" w:rsidRDefault="00000000" w:rsidP="008E0B35">
      <w:pPr>
        <w:pStyle w:val="a4"/>
        <w:suppressAutoHyphens/>
        <w:spacing w:before="0" w:after="240" w:line="240" w:lineRule="auto"/>
        <w:ind w:firstLine="567"/>
        <w:jc w:val="both"/>
        <w:rPr>
          <w:rFonts w:ascii="Times New Roman" w:eastAsia="Times New Roman" w:hAnsi="Times New Roman" w:cs="Times New Roman"/>
        </w:rPr>
      </w:pPr>
      <w:r>
        <w:rPr>
          <w:rFonts w:ascii="Times New Roman" w:hAnsi="Times New Roman"/>
        </w:rPr>
        <w:t xml:space="preserve">Несмотря на наличие развитой системы международных норм, правовой режим Арктики по-прежнему содержит значительные пробелы. К их числу относятся вопросы регулирования трансграничных экосистем, сохранения биоразнообразия, предотвращения загрязнений в условиях возрастающего судоходства, а также правовые аспекты новых технологий, включая </w:t>
      </w:r>
      <w:proofErr w:type="spellStart"/>
      <w:r>
        <w:rPr>
          <w:rFonts w:ascii="Times New Roman" w:hAnsi="Times New Roman"/>
        </w:rPr>
        <w:t>геоинженерные</w:t>
      </w:r>
      <w:proofErr w:type="spellEnd"/>
      <w:r>
        <w:rPr>
          <w:rFonts w:ascii="Times New Roman" w:hAnsi="Times New Roman"/>
        </w:rPr>
        <w:t xml:space="preserve"> проекты и глубоководную добычу. Быстрое изменение природных условий делает эти пробелы особенно критичными: существующие </w:t>
      </w:r>
      <w:r>
        <w:rPr>
          <w:rFonts w:ascii="Times New Roman" w:hAnsi="Times New Roman"/>
        </w:rPr>
        <w:lastRenderedPageBreak/>
        <w:t>нормы не всегда успевают адаптироваться к темпам климатических процессов и повышению хозяйственной активности. В этих условиях международному сообществу предстоит усилить институциональные и правовые механизмы, обеспечивающие устойчивое управление регионом.</w:t>
      </w:r>
    </w:p>
    <w:p w14:paraId="0A94C9C6" w14:textId="77777777" w:rsidR="007E55C3" w:rsidRDefault="00000000" w:rsidP="008E0B35">
      <w:pPr>
        <w:pStyle w:val="a4"/>
        <w:suppressAutoHyphens/>
        <w:spacing w:before="0" w:after="240" w:line="240" w:lineRule="auto"/>
        <w:ind w:firstLine="567"/>
        <w:jc w:val="both"/>
      </w:pPr>
      <w:r>
        <w:rPr>
          <w:rFonts w:ascii="Times New Roman" w:hAnsi="Times New Roman"/>
        </w:rPr>
        <w:t>Таким образом, международно-правовой статус Арктики в условиях изменения климата представляет собой динамичную, сложную и многослойную систему регулирования. Она сочетает нормы Конвенции ООН по морскому праву, политические декларации, региональные механизмы сотрудничества и растущий массив экологических стандартов. На смену традиционным представлениям о неизменности арктических пространств приходит понимание необходимости гибкого и многоуровневого управления. В дальнейшем ключевыми направлениями развития правового режима Арктики станут совершенствование механизмов координации действий государств, разработка новых соглашений в области экологии, рыболовства и защиты коренных народов, укрепление процедур разрешения споров о разграничении шельфа, а также повышение уровня экологической безопасности в условиях расширяющейся экономической деятельности. Перспективы устойчивого развития региона во многом будут зависеть от того, насколько эффективно международное сообщество сможет адаптировать правовые инструменты к стремительно меняющимся климатическим и политическим реалиям.</w:t>
      </w:r>
    </w:p>
    <w:sectPr w:rsidR="007E55C3">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4EF04" w14:textId="77777777" w:rsidR="001F23A7" w:rsidRDefault="001F23A7">
      <w:r>
        <w:separator/>
      </w:r>
    </w:p>
  </w:endnote>
  <w:endnote w:type="continuationSeparator" w:id="0">
    <w:p w14:paraId="57F458C8" w14:textId="77777777" w:rsidR="001F23A7" w:rsidRDefault="001F2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B30EC" w14:textId="77777777" w:rsidR="007E55C3" w:rsidRDefault="007E55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42EF4" w14:textId="77777777" w:rsidR="001F23A7" w:rsidRDefault="001F23A7">
      <w:r>
        <w:separator/>
      </w:r>
    </w:p>
  </w:footnote>
  <w:footnote w:type="continuationSeparator" w:id="0">
    <w:p w14:paraId="5298F2EC" w14:textId="77777777" w:rsidR="001F23A7" w:rsidRDefault="001F2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B98AC" w14:textId="77777777" w:rsidR="007E55C3" w:rsidRDefault="007E55C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5C3"/>
    <w:rsid w:val="001F23A7"/>
    <w:rsid w:val="007D2F30"/>
    <w:rsid w:val="007E55C3"/>
    <w:rsid w:val="008E0B35"/>
    <w:rsid w:val="00FC7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BEEB5"/>
  <w15:docId w15:val="{1BC32F33-122F-4302-83AF-AFA1E10F0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5">
    <w:name w:val="Body Text"/>
    <w:rPr>
      <w:rFonts w:ascii="Helvetica Neue" w:eastAsia="Helvetica Neue" w:hAnsi="Helvetica Neue" w:cs="Helvetica Neue"/>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1157</Words>
  <Characters>6595</Characters>
  <Application>Microsoft Office Word</Application>
  <DocSecurity>0</DocSecurity>
  <Lines>54</Lines>
  <Paragraphs>15</Paragraphs>
  <ScaleCrop>false</ScaleCrop>
  <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arina.abdullina.0505@mail.ru</cp:lastModifiedBy>
  <cp:revision>2</cp:revision>
  <dcterms:created xsi:type="dcterms:W3CDTF">2025-12-10T06:41:00Z</dcterms:created>
  <dcterms:modified xsi:type="dcterms:W3CDTF">2025-12-10T06:41:00Z</dcterms:modified>
</cp:coreProperties>
</file>