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8C7" w:rsidRPr="00D40049" w:rsidRDefault="00C044E8" w:rsidP="007F5B95">
      <w:pPr>
        <w:tabs>
          <w:tab w:val="left" w:pos="9639"/>
        </w:tabs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 ВОПРОСУ О </w:t>
      </w:r>
      <w:proofErr w:type="gramStart"/>
      <w:r>
        <w:rPr>
          <w:rFonts w:ascii="Times New Roman" w:hAnsi="Times New Roman" w:cs="Times New Roman"/>
          <w:b/>
          <w:sz w:val="28"/>
        </w:rPr>
        <w:t>КОРПОРАТИВНОМ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r w:rsidR="00D40049">
        <w:rPr>
          <w:rFonts w:ascii="Times New Roman" w:hAnsi="Times New Roman" w:cs="Times New Roman"/>
          <w:b/>
          <w:sz w:val="28"/>
        </w:rPr>
        <w:t>НАЛОГООБЛАЖЕНИЕ ЮРИДИЧЕСКИХ ЛИЦ В РОССИИ И В ЮЖНОЙ КОРЕЕ</w:t>
      </w:r>
    </w:p>
    <w:p w:rsidR="00D40049" w:rsidRPr="00D40049" w:rsidRDefault="00D40049" w:rsidP="007F5B95">
      <w:pPr>
        <w:pStyle w:val="a3"/>
        <w:tabs>
          <w:tab w:val="left" w:pos="9639"/>
        </w:tabs>
        <w:spacing w:before="0" w:beforeAutospacing="0" w:after="0" w:afterAutospacing="0"/>
        <w:ind w:firstLine="709"/>
        <w:jc w:val="right"/>
        <w:rPr>
          <w:b/>
          <w:i/>
          <w:sz w:val="20"/>
        </w:rPr>
      </w:pPr>
      <w:r w:rsidRPr="00D40049">
        <w:rPr>
          <w:b/>
          <w:i/>
          <w:sz w:val="20"/>
        </w:rPr>
        <w:t>Логинова Анастасия Александровна</w:t>
      </w:r>
    </w:p>
    <w:p w:rsidR="00D40049" w:rsidRPr="00D40049" w:rsidRDefault="00D40049" w:rsidP="007F5B95">
      <w:pPr>
        <w:pStyle w:val="a3"/>
        <w:tabs>
          <w:tab w:val="left" w:pos="9639"/>
        </w:tabs>
        <w:spacing w:before="0" w:beforeAutospacing="0" w:after="0" w:afterAutospacing="0"/>
        <w:ind w:firstLine="709"/>
        <w:jc w:val="right"/>
        <w:rPr>
          <w:b/>
          <w:i/>
          <w:sz w:val="20"/>
        </w:rPr>
      </w:pPr>
      <w:r w:rsidRPr="00D40049">
        <w:rPr>
          <w:b/>
          <w:i/>
          <w:sz w:val="20"/>
        </w:rPr>
        <w:t>Студентка юридического института Вятского государственного университета</w:t>
      </w:r>
    </w:p>
    <w:p w:rsidR="00D40049" w:rsidRPr="00D40049" w:rsidRDefault="00D40049" w:rsidP="007F5B95">
      <w:pPr>
        <w:pStyle w:val="a3"/>
        <w:tabs>
          <w:tab w:val="left" w:pos="9639"/>
        </w:tabs>
        <w:spacing w:before="0" w:beforeAutospacing="0" w:after="0" w:afterAutospacing="0"/>
        <w:ind w:firstLine="709"/>
        <w:jc w:val="right"/>
        <w:rPr>
          <w:b/>
          <w:i/>
          <w:sz w:val="20"/>
        </w:rPr>
      </w:pPr>
      <w:r w:rsidRPr="00D40049">
        <w:rPr>
          <w:b/>
          <w:i/>
          <w:sz w:val="20"/>
        </w:rPr>
        <w:t>Российская Федерация, Киров</w:t>
      </w:r>
    </w:p>
    <w:p w:rsidR="00D40049" w:rsidRPr="007F5B95" w:rsidRDefault="00D40049" w:rsidP="007F5B95">
      <w:pPr>
        <w:pStyle w:val="a3"/>
        <w:tabs>
          <w:tab w:val="left" w:pos="9639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7F5B95">
        <w:rPr>
          <w:b/>
          <w:sz w:val="28"/>
        </w:rPr>
        <w:t>Аннотация</w:t>
      </w:r>
      <w:r w:rsidRPr="007F5B95">
        <w:rPr>
          <w:sz w:val="28"/>
        </w:rPr>
        <w:t>.</w:t>
      </w:r>
    </w:p>
    <w:p w:rsidR="00D40049" w:rsidRPr="007F5B95" w:rsidRDefault="00D40049" w:rsidP="007F5B95">
      <w:pPr>
        <w:pStyle w:val="a3"/>
        <w:tabs>
          <w:tab w:val="left" w:pos="9639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7F5B95">
        <w:rPr>
          <w:sz w:val="28"/>
        </w:rPr>
        <w:t xml:space="preserve">В статье анализируются особенности </w:t>
      </w:r>
      <w:proofErr w:type="spellStart"/>
      <w:r w:rsidRPr="007F5B95">
        <w:rPr>
          <w:sz w:val="28"/>
        </w:rPr>
        <w:t>налогооблажения</w:t>
      </w:r>
      <w:proofErr w:type="spellEnd"/>
      <w:r w:rsidRPr="007F5B95">
        <w:rPr>
          <w:sz w:val="28"/>
        </w:rPr>
        <w:t xml:space="preserve"> юридических лиц России и Южной Кореи. Сравниваются подходы к корпоративному налогу, системе косвенных налогов, н</w:t>
      </w:r>
      <w:r w:rsidR="007F5B95" w:rsidRPr="007F5B95">
        <w:rPr>
          <w:sz w:val="28"/>
        </w:rPr>
        <w:t>алоговым льготам и администрир</w:t>
      </w:r>
      <w:r w:rsidRPr="007F5B95">
        <w:rPr>
          <w:sz w:val="28"/>
        </w:rPr>
        <w:t>ованию</w:t>
      </w:r>
      <w:r w:rsidR="007F5B95" w:rsidRPr="007F5B95">
        <w:rPr>
          <w:sz w:val="28"/>
        </w:rPr>
        <w:t xml:space="preserve">. Выявлено </w:t>
      </w:r>
      <w:r w:rsidRPr="007F5B95">
        <w:rPr>
          <w:sz w:val="28"/>
        </w:rPr>
        <w:t xml:space="preserve"> </w:t>
      </w:r>
      <w:r w:rsidR="007F5B95" w:rsidRPr="007F5B95">
        <w:rPr>
          <w:sz w:val="28"/>
        </w:rPr>
        <w:t>влияние этих различий на развитие бизнеса и инвестиционную привлекательность</w:t>
      </w:r>
    </w:p>
    <w:p w:rsidR="007F5B95" w:rsidRPr="007F5B95" w:rsidRDefault="007F5B95" w:rsidP="007F5B95">
      <w:pPr>
        <w:pStyle w:val="a3"/>
        <w:tabs>
          <w:tab w:val="left" w:pos="9639"/>
        </w:tabs>
        <w:spacing w:before="0" w:beforeAutospacing="0" w:after="0" w:afterAutospacing="0"/>
        <w:ind w:firstLine="709"/>
        <w:jc w:val="both"/>
        <w:rPr>
          <w:sz w:val="28"/>
        </w:rPr>
      </w:pPr>
      <w:r w:rsidRPr="007F5B95">
        <w:rPr>
          <w:b/>
          <w:sz w:val="28"/>
        </w:rPr>
        <w:t>Ключевые слова</w:t>
      </w:r>
      <w:r w:rsidRPr="007F5B95">
        <w:rPr>
          <w:sz w:val="28"/>
        </w:rPr>
        <w:t xml:space="preserve">: налоговое право, Южная Корея, Россия, юридическое лицо, </w:t>
      </w:r>
      <w:proofErr w:type="spellStart"/>
      <w:r w:rsidRPr="007F5B95">
        <w:rPr>
          <w:sz w:val="28"/>
        </w:rPr>
        <w:t>налогооблажение</w:t>
      </w:r>
      <w:proofErr w:type="spellEnd"/>
      <w:r w:rsidRPr="007F5B95">
        <w:rPr>
          <w:sz w:val="28"/>
        </w:rPr>
        <w:t>.</w:t>
      </w:r>
    </w:p>
    <w:p w:rsidR="00CF2FF2" w:rsidRDefault="00CF2FF2" w:rsidP="00CF2FF2">
      <w:pPr>
        <w:pStyle w:val="a3"/>
        <w:spacing w:line="360" w:lineRule="auto"/>
        <w:jc w:val="both"/>
        <w:rPr>
          <w:sz w:val="28"/>
        </w:rPr>
      </w:pPr>
      <w:r w:rsidRPr="00CF2FF2">
        <w:rPr>
          <w:sz w:val="28"/>
        </w:rPr>
        <w:t>Налоговое регулирование юридических лиц представляет собой ключевой механизм государственного управления, обеспечивающий сбалансированное взаимодействие фискальных интересов бюджета, экономических потребностей бизнеса и социальных ожиданий общества. В условиях глобализации налоговая система трансформируется из сугубо фискального инструмента в стратегический фактор конкурентоспособности национальной экономики, оказывающий прямое влияние на инвестиционный климат, экспортный потенциал и темпы инновационного развития. Сравнительный анализ налоговых систем Российской Федерации и Республики Корея позволяет выявить принципиальные различия в подходах к корпоративному налогообложению, обусловленные историческими особенностями экономического развития, институциональной средой и правовыми традициями двух государств.</w:t>
      </w:r>
    </w:p>
    <w:p w:rsidR="00E253EA" w:rsidRDefault="00E253EA" w:rsidP="00E253EA">
      <w:pPr>
        <w:pStyle w:val="docdata"/>
        <w:spacing w:beforeAutospacing="0" w:afterAutospacing="0" w:line="360" w:lineRule="auto"/>
        <w:jc w:val="both"/>
      </w:pPr>
      <w:r>
        <w:rPr>
          <w:color w:val="000000"/>
          <w:sz w:val="28"/>
          <w:szCs w:val="28"/>
        </w:rPr>
        <w:t xml:space="preserve">В основу теоретического раздела статьи легли результаты научно-исследовательской </w:t>
      </w:r>
      <w:r>
        <w:rPr>
          <w:color w:val="000000"/>
          <w:sz w:val="28"/>
          <w:szCs w:val="28"/>
        </w:rPr>
        <w:t xml:space="preserve">деятельности российских учёных: </w:t>
      </w:r>
      <w:bookmarkStart w:id="0" w:name="_GoBack"/>
      <w:bookmarkEnd w:id="0"/>
      <w:r>
        <w:rPr>
          <w:color w:val="000000"/>
          <w:sz w:val="28"/>
          <w:szCs w:val="28"/>
        </w:rPr>
        <w:t>Е. О. </w:t>
      </w:r>
      <w:proofErr w:type="spellStart"/>
      <w:r>
        <w:rPr>
          <w:color w:val="000000"/>
          <w:sz w:val="28"/>
          <w:szCs w:val="28"/>
        </w:rPr>
        <w:t>Вескова</w:t>
      </w:r>
      <w:proofErr w:type="spellEnd"/>
      <w:r>
        <w:rPr>
          <w:color w:val="000000"/>
          <w:sz w:val="28"/>
          <w:szCs w:val="28"/>
        </w:rPr>
        <w:t>, К. С. Черноусова и Ы. Д. </w:t>
      </w:r>
      <w:proofErr w:type="spellStart"/>
      <w:r>
        <w:rPr>
          <w:color w:val="000000"/>
          <w:sz w:val="28"/>
          <w:szCs w:val="28"/>
        </w:rPr>
        <w:t>Чо</w:t>
      </w:r>
      <w:proofErr w:type="spellEnd"/>
      <w:r>
        <w:rPr>
          <w:color w:val="000000"/>
          <w:sz w:val="28"/>
          <w:szCs w:val="28"/>
        </w:rPr>
        <w:t>.</w:t>
      </w:r>
    </w:p>
    <w:p w:rsidR="00CF2FF2" w:rsidRPr="00CF2FF2" w:rsidRDefault="00CF2FF2" w:rsidP="00FD0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Российской Федерации правовая основа корпоративного налогообложения закреплена в Налоговом кодексе РФ, причём центральное место в регулировании данного вопроса занимает налог на прибыль организаций, </w:t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положения о котором содержатся в главе 25 НК РФ</w:t>
      </w:r>
      <w:r w:rsidR="00FD0DE1">
        <w:rPr>
          <w:rStyle w:val="a9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"/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>. Согласно статье 246 НК РФ, круг налогоплательщиков включает несколько категорий субъектов: во</w:t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noBreakHyphen/>
        <w:t>первых, это российские организации; во</w:t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noBreakHyphen/>
        <w:t>вторых, иностранные компании, осуществляющие деятельность через постоянные представительства на территории РФ;</w:t>
      </w:r>
      <w:proofErr w:type="gramEnd"/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</w:t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noBreakHyphen/>
        <w:t>третьих, иные иностранные организации, получающие доходы из российских источников.</w:t>
      </w:r>
    </w:p>
    <w:p w:rsidR="00CF2FF2" w:rsidRPr="00CF2FF2" w:rsidRDefault="00CF2FF2" w:rsidP="00FD0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Базовая ставка налога на прибыль установлена статьёй 284 НК РФ и составляет </w:t>
      </w:r>
      <w:r w:rsidR="00C044E8">
        <w:rPr>
          <w:rFonts w:ascii="Times New Roman" w:eastAsia="Times New Roman" w:hAnsi="Times New Roman" w:cs="Times New Roman"/>
          <w:sz w:val="28"/>
          <w:szCs w:val="24"/>
          <w:lang w:eastAsia="ru-RU"/>
        </w:rPr>
        <w:t>25</w:t>
      </w: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%</w:t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при этом предусмотрено дифференцированное распределение поступлений между уровнями бюджетной системы: </w:t>
      </w:r>
      <w:r w:rsidR="00C044E8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%</w:t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суммы налога направляются в федеральный бюджет, а </w:t>
      </w: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17%</w:t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— в бюджеты субъектов Российской Федерации.</w:t>
      </w:r>
    </w:p>
    <w:p w:rsidR="00CF2FF2" w:rsidRPr="00CF2FF2" w:rsidRDefault="00CF2FF2" w:rsidP="00FD0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Существенной особенностью российской системы налогообложения прибыли является норма, закреплённая в пункте 1.1 статьи 284 НК РФ, которая наделяет региональные власти правом снижать ставку налога на прибыль вплоть до </w:t>
      </w: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5%</w:t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>. Эта законодательная возможность превращает налоговую политику в эффективный инструмент межрегиональной конкуренции за инвестиционные ресурсы: субъекты РФ могут использовать снижение налоговой ставки как рычаг привлечения капитала в приоритетные сектора экономики.</w:t>
      </w:r>
      <w:proofErr w:type="gramEnd"/>
    </w:p>
    <w:p w:rsidR="00CF2FF2" w:rsidRPr="00CF2FF2" w:rsidRDefault="00CF2FF2" w:rsidP="00FD0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практике такая гибкость активно задействуется для стимулирования развития стратегически важных отраслей и территориальных образований. В частности, пониженные ставки применяются для привлечения инвестиций </w:t>
      </w:r>
      <w:proofErr w:type="gramStart"/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CF2FF2" w:rsidRPr="00CF2FF2" w:rsidRDefault="00CF2FF2" w:rsidP="00FD0DE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>IT</w:t>
      </w: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noBreakHyphen/>
        <w:t>индустрию, где льготное налогообложение способствует развитию отечественных цифровых решений и удержанию квалифицированных кадров;</w:t>
      </w:r>
    </w:p>
    <w:p w:rsidR="00CF2FF2" w:rsidRPr="00CF2FF2" w:rsidRDefault="00CF2FF2" w:rsidP="00FD0DE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высокотехнологичные кластеры, ориентированные на инновации и </w:t>
      </w:r>
      <w:proofErr w:type="spellStart"/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>импортозамещение</w:t>
      </w:r>
      <w:proofErr w:type="spellEnd"/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CF2FF2" w:rsidRPr="00CF2FF2" w:rsidRDefault="00CF2FF2" w:rsidP="00FD0DE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производственные предприятия, особенно в сферах, приоритетных для промышленной политики государства;</w:t>
      </w:r>
    </w:p>
    <w:p w:rsidR="00CF2FF2" w:rsidRPr="00CF2FF2" w:rsidRDefault="00CF2FF2" w:rsidP="00FD0DE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2FF2">
        <w:rPr>
          <w:rFonts w:ascii="Times New Roman" w:eastAsia="Times New Roman" w:hAnsi="Times New Roman" w:cs="Times New Roman"/>
          <w:sz w:val="28"/>
          <w:szCs w:val="24"/>
          <w:lang w:eastAsia="ru-RU"/>
        </w:rPr>
        <w:t>резидентов особых экономических зон, для которых предусмотрены специальные режимы ведения хозяйственной деятельности, включая налоговые преференции.</w:t>
      </w:r>
    </w:p>
    <w:p w:rsidR="00FD0DE1" w:rsidRPr="00FD0DE1" w:rsidRDefault="00FD0DE1" w:rsidP="00FD0DE1">
      <w:pPr>
        <w:pStyle w:val="a3"/>
        <w:spacing w:line="360" w:lineRule="auto"/>
        <w:jc w:val="both"/>
        <w:rPr>
          <w:sz w:val="28"/>
        </w:rPr>
      </w:pPr>
      <w:r w:rsidRPr="00FD0DE1">
        <w:rPr>
          <w:sz w:val="28"/>
        </w:rPr>
        <w:t xml:space="preserve">Значимую роль в российской налоговой системе играет налог на добавленную стоимость (НДС), правовой режим которого детально регламентирован главой 21 Налогового кодекса РФ. </w:t>
      </w:r>
      <w:proofErr w:type="gramStart"/>
      <w:r w:rsidRPr="00FD0DE1">
        <w:rPr>
          <w:sz w:val="28"/>
        </w:rPr>
        <w:t>Статья 164 НК РФ устанавливает трёхуровневую шкалу налоговых ставок, позволяющую гибко учитывать социально</w:t>
      </w:r>
      <w:r w:rsidRPr="00FD0DE1">
        <w:rPr>
          <w:sz w:val="28"/>
        </w:rPr>
        <w:noBreakHyphen/>
        <w:t xml:space="preserve">экономическую значимость различных категорий товаров и операций: базовая ставка составляет </w:t>
      </w:r>
      <w:r w:rsidR="00C044E8">
        <w:rPr>
          <w:rStyle w:val="mord"/>
          <w:sz w:val="28"/>
        </w:rPr>
        <w:t>25</w:t>
      </w:r>
      <w:r w:rsidRPr="00FD0DE1">
        <w:rPr>
          <w:rStyle w:val="mord"/>
          <w:sz w:val="28"/>
        </w:rPr>
        <w:t>%</w:t>
      </w:r>
      <w:r w:rsidRPr="00FD0DE1">
        <w:rPr>
          <w:sz w:val="28"/>
        </w:rPr>
        <w:t xml:space="preserve"> и применяется к большинству товаров, работ и услуг; пониженная ставка в размере </w:t>
      </w:r>
      <w:r w:rsidRPr="00FD0DE1">
        <w:rPr>
          <w:rStyle w:val="mord"/>
          <w:sz w:val="28"/>
        </w:rPr>
        <w:t>10%</w:t>
      </w:r>
      <w:r w:rsidRPr="00FD0DE1">
        <w:rPr>
          <w:sz w:val="28"/>
        </w:rPr>
        <w:t xml:space="preserve"> распространяется на социально значимые товары, включая отдельные категории продовольственных товаров, детских товаров, медицинских изделий и печатной продукции;</w:t>
      </w:r>
      <w:proofErr w:type="gramEnd"/>
      <w:r w:rsidRPr="00FD0DE1">
        <w:rPr>
          <w:sz w:val="28"/>
        </w:rPr>
        <w:t xml:space="preserve"> нулевая ставка (</w:t>
      </w:r>
      <w:r w:rsidRPr="00FD0DE1">
        <w:rPr>
          <w:rStyle w:val="mord"/>
          <w:sz w:val="28"/>
        </w:rPr>
        <w:t>0%</w:t>
      </w:r>
      <w:r w:rsidRPr="00FD0DE1">
        <w:rPr>
          <w:sz w:val="28"/>
        </w:rPr>
        <w:t xml:space="preserve">) используется при осуществлении экспортных операций, а также в ряде иных случаев, прямо предусмотренных законодательством, например при международных перевозках. Такая дифференциация ставок обусловливает существенную сложность налогового администрирования, поскольку организациям необходимо вести детальный учёт налоговых вычетов с подтверждением их правомерности первичными документами, формировать и поддерживать актуальные реестры операций, подлежащих налогообложению по различным ставкам, а также своевременно представлять электронные налоговые декларации в соответствии с требованиями статьи 80 НК РФ. </w:t>
      </w:r>
      <w:proofErr w:type="gramStart"/>
      <w:r w:rsidRPr="00FD0DE1">
        <w:rPr>
          <w:sz w:val="28"/>
        </w:rPr>
        <w:t>Система контроля за исчислением и уплатой НДС дополнительно усилена положениями статьи 169 НК РФ, которые регламентируют правила оформления счетов</w:t>
      </w:r>
      <w:r w:rsidRPr="00FD0DE1">
        <w:rPr>
          <w:sz w:val="28"/>
        </w:rPr>
        <w:noBreakHyphen/>
        <w:t xml:space="preserve">фактур и ведения электронного документооборота, обеспечивая тем самым </w:t>
      </w:r>
      <w:proofErr w:type="spellStart"/>
      <w:r w:rsidRPr="00FD0DE1">
        <w:rPr>
          <w:sz w:val="28"/>
        </w:rPr>
        <w:t>прослеживаемость</w:t>
      </w:r>
      <w:proofErr w:type="spellEnd"/>
      <w:r w:rsidRPr="00FD0DE1">
        <w:rPr>
          <w:sz w:val="28"/>
        </w:rPr>
        <w:t xml:space="preserve"> товарных потоков, а также механизмом камеральных проверок, предусмотренным статьёй 88 НК РФ, который позволяет налоговым органам анализировать соответствие заявленных вычетов и исчисленных сумм </w:t>
      </w:r>
      <w:r w:rsidRPr="00FD0DE1">
        <w:rPr>
          <w:sz w:val="28"/>
        </w:rPr>
        <w:lastRenderedPageBreak/>
        <w:t>реальным хозяйственным операциям.</w:t>
      </w:r>
      <w:proofErr w:type="gramEnd"/>
      <w:r w:rsidRPr="00FD0DE1">
        <w:rPr>
          <w:sz w:val="28"/>
        </w:rPr>
        <w:t xml:space="preserve"> Совокупность этих мер формирует многоуровневую систему налогового контроля, которая не только минимизирует риски уклонения от налогообложения за счёт повышения прозрачности операций и обеспечивает своевременное и полное поступление налоговых платежей в бюджет, но и создаёт условия для предотвращения злоупотреблений при применении льготных ставок и налоговых вычетов. </w:t>
      </w:r>
      <w:proofErr w:type="gramStart"/>
      <w:r w:rsidRPr="00FD0DE1">
        <w:rPr>
          <w:sz w:val="28"/>
        </w:rPr>
        <w:t>В результате налог на добавленную стоимость выполняет двойственную функцию: с одной стороны, он выступает ключевым источником бюджетных поступлений, обеспечивая значительную долю доходов консолидированного бюджета РФ, а с другой — служит инструментом реализации социально</w:t>
      </w:r>
      <w:r w:rsidRPr="00FD0DE1">
        <w:rPr>
          <w:sz w:val="28"/>
        </w:rPr>
        <w:noBreakHyphen/>
        <w:t>экономической политики государства, поскольку посредством дифференцированных ставок регулируется доступность социально значимых товаров, стимулируется экспортный потенциал и поддерживается конкурентоспособность отечественных производителей на международных рынках.</w:t>
      </w:r>
      <w:proofErr w:type="gramEnd"/>
    </w:p>
    <w:p w:rsidR="00CF2FF2" w:rsidRPr="00CF2FF2" w:rsidRDefault="00CF2FF2" w:rsidP="00CF2FF2">
      <w:pPr>
        <w:pStyle w:val="a3"/>
        <w:spacing w:line="360" w:lineRule="auto"/>
        <w:jc w:val="both"/>
        <w:rPr>
          <w:sz w:val="28"/>
        </w:rPr>
      </w:pPr>
      <w:r w:rsidRPr="00CF2FF2">
        <w:rPr>
          <w:sz w:val="28"/>
        </w:rPr>
        <w:t xml:space="preserve">Российская система налогообложения отличается наличием альтернативных режимов, позволяющих налогоплательщикам выбирать оптимальную модель в зависимости от масштаба деятельности и отраслевой специфики. </w:t>
      </w:r>
      <w:proofErr w:type="gramStart"/>
      <w:r w:rsidRPr="00CF2FF2">
        <w:rPr>
          <w:sz w:val="28"/>
        </w:rPr>
        <w:t xml:space="preserve">К ним относятся: единый сельскохозяйственный налог (гл. 26.1 НК РФ), применяемый при доле сельхозпродукции свыше 70 %; упрощённая система налогообложения (гл. 26.2 НК РФ) с двумя вариантами расчёта (6 % от доходов либо 15 % от разницы «доходы минус расходы»); автоматизированная упрощённая система (АУСН, ст. 346.50 НК РФ), действующая до конца 2027 года и ориентированная на </w:t>
      </w:r>
      <w:proofErr w:type="spellStart"/>
      <w:r w:rsidRPr="00CF2FF2">
        <w:rPr>
          <w:sz w:val="28"/>
        </w:rPr>
        <w:t>микробизнес</w:t>
      </w:r>
      <w:proofErr w:type="spellEnd"/>
      <w:r w:rsidRPr="00CF2FF2">
        <w:rPr>
          <w:sz w:val="28"/>
        </w:rPr>
        <w:t>.</w:t>
      </w:r>
      <w:proofErr w:type="gramEnd"/>
      <w:r w:rsidRPr="00CF2FF2">
        <w:rPr>
          <w:sz w:val="28"/>
        </w:rPr>
        <w:t xml:space="preserve"> При этом законодательство устанавливает жёсткие критерии применения специальных режимов (лимиты по доходам, численности персонала, стоимости активов), а с 2025 года вводится обязательное начисление НДС при превышении порога в 60 </w:t>
      </w:r>
      <w:proofErr w:type="gramStart"/>
      <w:r w:rsidRPr="00CF2FF2">
        <w:rPr>
          <w:sz w:val="28"/>
        </w:rPr>
        <w:t>млн</w:t>
      </w:r>
      <w:proofErr w:type="gramEnd"/>
      <w:r w:rsidRPr="00CF2FF2">
        <w:rPr>
          <w:sz w:val="28"/>
        </w:rPr>
        <w:t xml:space="preserve"> рублей для налогоплательщиков на УСН (ст. 145.1 НК РФ), что постепенно нивелирует преимущества этих режимов.</w:t>
      </w:r>
    </w:p>
    <w:p w:rsidR="00FD0DE1" w:rsidRPr="00FD0DE1" w:rsidRDefault="00FD0DE1" w:rsidP="00FD0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В Республике Корея система корпоративного налогообложения строится на базе единого законодательного акта — закона </w:t>
      </w:r>
      <w:proofErr w:type="spellStart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Corporate</w:t>
      </w:r>
      <w:proofErr w:type="spellEnd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Tax</w:t>
      </w:r>
      <w:proofErr w:type="spellEnd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Act</w:t>
      </w:r>
      <w:proofErr w:type="spellEnd"/>
      <w:r>
        <w:rPr>
          <w:rStyle w:val="a9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2"/>
      </w: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который действует </w:t>
      </w:r>
      <w:proofErr w:type="spellStart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унифицированно</w:t>
      </w:r>
      <w:proofErr w:type="spellEnd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всей территории государства без каких</w:t>
      </w: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noBreakHyphen/>
        <w:t>либо региональных вариаций или дифференцированных ставок по территориальному принципу. Это создаёт предсказуемую и прозрачную налоговую среду для бизнеса, исключая разночтения и административные сложности, связанные с необходимостью учитывать местные особенности налогообложения в разных провинциях или городах.</w:t>
      </w:r>
    </w:p>
    <w:p w:rsidR="00FD0DE1" w:rsidRPr="00FD0DE1" w:rsidRDefault="00FD0DE1" w:rsidP="00FD0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2025 год в Южной Корее применяется прогрессивная шкала налогообложения прибыли организаций, что означает прямую зависимость ставки налога от размера полученного дохода. Шкала выстроена градационно: минимальная ставка составляет 10% и применяется к компаниям, чья годовая прибыль не превышает 200 </w:t>
      </w:r>
      <w:proofErr w:type="gramStart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млн</w:t>
      </w:r>
      <w:proofErr w:type="gramEnd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южнокорейских вон (KRW); по мере роста доходов ставка постепенно увеличивается, достигая максимальной величины в 25%</w:t>
      </w:r>
      <w:r w:rsidR="000635FC">
        <w:rPr>
          <w:rStyle w:val="a9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3"/>
      </w: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предприятий, получивших прибыль свыше 300 млрд KRW. Такая система позволяет учитывать платёжеспособность бизнеса: малые и средние предприятия несут меньшую налоговую нагрузку, тогда как крупные корпорации вносят пропорционально больший вклад в бюджет.</w:t>
      </w:r>
    </w:p>
    <w:p w:rsidR="00FD0DE1" w:rsidRPr="00FD0DE1" w:rsidRDefault="00FD0DE1" w:rsidP="00FD0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Существенное отличие южнокорейской модели от, например, российской практики заключается в отказе от альтернативных налоговых режимов (таких как специальные налоговые режимы для отдельных отраслей или территорий). Вместо этого законодательство делает акцент на системе налоговых кредитов, сниженных ставок и целевых льгот, </w:t>
      </w:r>
      <w:proofErr w:type="gramStart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ориентированных</w:t>
      </w:r>
      <w:proofErr w:type="gramEnd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прежде всего на поддержку малого бизнеса и стимулирование экономического развития. Эти механизмы закреплены не только в </w:t>
      </w:r>
      <w:proofErr w:type="gramStart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самом</w:t>
      </w:r>
      <w:proofErr w:type="gramEnd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Corporate</w:t>
      </w:r>
      <w:proofErr w:type="spellEnd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Tax</w:t>
      </w:r>
      <w:proofErr w:type="spellEnd"/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Act</w:t>
      </w:r>
      <w:r w:rsidR="00884EEC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2</w:t>
      </w: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но и в подзаконных актах, издаваемых Министерством экономики и финансов </w:t>
      </w: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Республики Корея, что обеспечивает их юридическую определённость и стабильность.</w:t>
      </w:r>
    </w:p>
    <w:p w:rsidR="00FD0DE1" w:rsidRPr="00FD0DE1" w:rsidRDefault="00FD0DE1" w:rsidP="00FD0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Среди ключевых стимулирующих мер можно выделить:</w:t>
      </w:r>
    </w:p>
    <w:p w:rsidR="00FD0DE1" w:rsidRPr="00FD0DE1" w:rsidRDefault="00FD0DE1" w:rsidP="00FD0DE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налоговые каникулы для инновационных кластеров — освобождение от уплаты налога на прибыль на определённый срок для компаний, работающих в приоритетных технологических секторах (например, в области биотехнологий, искусственного интеллекта, зелёной энергетики);</w:t>
      </w:r>
    </w:p>
    <w:p w:rsidR="00FD0DE1" w:rsidRPr="00FD0DE1" w:rsidRDefault="00FD0DE1" w:rsidP="00FD0DE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субсидии и налоговые льготы для предприятий, создающих новые рабочие места, — это стимулирует занятость и снижает социальное напряжение, одновременно способствуя росту экономики;</w:t>
      </w:r>
    </w:p>
    <w:p w:rsidR="00FD0DE1" w:rsidRPr="00FD0DE1" w:rsidRDefault="00FD0DE1" w:rsidP="00FD0DE1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сниженные ставки для малого и среднего бизнеса, позволяющие начинающим компаниям укреплять финансовую устойчивость на ранних этапах развития.</w:t>
      </w:r>
    </w:p>
    <w:p w:rsidR="00FD0DE1" w:rsidRPr="00FD0DE1" w:rsidRDefault="00FD0DE1" w:rsidP="00FD0D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DE1">
        <w:rPr>
          <w:rFonts w:ascii="Times New Roman" w:eastAsia="Times New Roman" w:hAnsi="Times New Roman" w:cs="Times New Roman"/>
          <w:sz w:val="28"/>
          <w:szCs w:val="24"/>
          <w:lang w:eastAsia="ru-RU"/>
        </w:rPr>
        <w:t>Важное преимущество такого подхода заключается в том, что льготы и преференции предусмотрены законом в общем порядке — они не требуют индивидуального согласования с налоговыми органами или получения специальных разрешений. Это существенно снижает административную нагрузку на бизнес: компании могут планировать свою деятельность, опираясь на чётко зафиксированные в нормативных актах условия, без необходимости вести длительные переговоры с регуляторами или собирать дополнительные пакеты документов для подтверждения права на льготу. В результате налоговая система становится более эффективной, предсказуемой и дружественной по отношению к предпринимателям, что в долгосрочной перспективе способствует привлечению инвестиций и устойчивому экономическому росту.</w:t>
      </w:r>
    </w:p>
    <w:p w:rsidR="00FD0DE1" w:rsidRPr="00FD0DE1" w:rsidRDefault="00FD0DE1" w:rsidP="00FD0DE1">
      <w:pPr>
        <w:pStyle w:val="a3"/>
        <w:spacing w:line="360" w:lineRule="auto"/>
        <w:jc w:val="both"/>
        <w:rPr>
          <w:sz w:val="28"/>
        </w:rPr>
      </w:pPr>
      <w:r w:rsidRPr="00FD0DE1">
        <w:rPr>
          <w:sz w:val="28"/>
        </w:rPr>
        <w:t xml:space="preserve">В Республике Корея система косвенного налогообложения реализована в существенно упрощённой форме по сравнению </w:t>
      </w:r>
      <w:proofErr w:type="gramStart"/>
      <w:r w:rsidRPr="00FD0DE1">
        <w:rPr>
          <w:sz w:val="28"/>
        </w:rPr>
        <w:t>с</w:t>
      </w:r>
      <w:proofErr w:type="gramEnd"/>
      <w:r w:rsidRPr="00FD0DE1">
        <w:rPr>
          <w:sz w:val="28"/>
        </w:rPr>
        <w:t xml:space="preserve"> многими другими странами, что прежде всего выражается в единообразии механизма взимания налога на </w:t>
      </w:r>
      <w:r w:rsidRPr="00FD0DE1">
        <w:rPr>
          <w:sz w:val="28"/>
        </w:rPr>
        <w:lastRenderedPageBreak/>
        <w:t xml:space="preserve">добавленную стоимость. Правовая основа НДС закреплена в законе </w:t>
      </w:r>
      <w:proofErr w:type="spellStart"/>
      <w:r w:rsidRPr="00FD0DE1">
        <w:rPr>
          <w:sz w:val="28"/>
        </w:rPr>
        <w:t>Value</w:t>
      </w:r>
      <w:proofErr w:type="spellEnd"/>
      <w:r w:rsidRPr="00FD0DE1">
        <w:rPr>
          <w:sz w:val="28"/>
        </w:rPr>
        <w:t xml:space="preserve"> </w:t>
      </w:r>
      <w:proofErr w:type="spellStart"/>
      <w:r w:rsidRPr="00FD0DE1">
        <w:rPr>
          <w:sz w:val="28"/>
        </w:rPr>
        <w:t>Added</w:t>
      </w:r>
      <w:proofErr w:type="spellEnd"/>
      <w:r w:rsidRPr="00FD0DE1">
        <w:rPr>
          <w:sz w:val="28"/>
        </w:rPr>
        <w:t xml:space="preserve"> </w:t>
      </w:r>
      <w:proofErr w:type="spellStart"/>
      <w:r w:rsidRPr="00FD0DE1">
        <w:rPr>
          <w:sz w:val="28"/>
        </w:rPr>
        <w:t>Tax</w:t>
      </w:r>
      <w:proofErr w:type="spellEnd"/>
      <w:r w:rsidRPr="00FD0DE1">
        <w:rPr>
          <w:sz w:val="28"/>
        </w:rPr>
        <w:t xml:space="preserve"> </w:t>
      </w:r>
      <w:proofErr w:type="spellStart"/>
      <w:r w:rsidRPr="00FD0DE1">
        <w:rPr>
          <w:sz w:val="28"/>
        </w:rPr>
        <w:t>Act</w:t>
      </w:r>
      <w:proofErr w:type="spellEnd"/>
      <w:r w:rsidR="00884EEC">
        <w:rPr>
          <w:rStyle w:val="a9"/>
          <w:sz w:val="28"/>
        </w:rPr>
        <w:footnoteReference w:id="4"/>
      </w:r>
      <w:r w:rsidRPr="00FD0DE1">
        <w:rPr>
          <w:sz w:val="28"/>
        </w:rPr>
        <w:t>, который устанавливает единую ставку в размере 10 %, применяемую абсолютно ко всем категориям товаров и операций без каких</w:t>
      </w:r>
      <w:r w:rsidRPr="00FD0DE1">
        <w:rPr>
          <w:sz w:val="28"/>
        </w:rPr>
        <w:noBreakHyphen/>
        <w:t xml:space="preserve">либо исключений, пониженных тарифов или нулевого налогообложения отдельных видов деятельности. </w:t>
      </w:r>
      <w:proofErr w:type="gramStart"/>
      <w:r w:rsidRPr="00FD0DE1">
        <w:rPr>
          <w:sz w:val="28"/>
        </w:rPr>
        <w:t>Такая унификация приносит бизнесу ощутимые преимущества: исчезает необходимость подтверждать право на льготные режимы, резко сокращается объём требуемой документации, отпадает потребность вести раздельный учёт операций по разным ставкам, а сам механизм расчёта налога становится предельно прозрачным и стандартизированным, что минимизирует вероятность ошибок, сокращает число спорных ситуаций с налоговыми органами и в целом снижает административную нагрузку на предприятия.</w:t>
      </w:r>
      <w:proofErr w:type="gramEnd"/>
    </w:p>
    <w:p w:rsidR="00FD0DE1" w:rsidRPr="00FD0DE1" w:rsidRDefault="00FD0DE1" w:rsidP="00FD0DE1">
      <w:pPr>
        <w:pStyle w:val="a3"/>
        <w:spacing w:line="360" w:lineRule="auto"/>
        <w:jc w:val="both"/>
        <w:rPr>
          <w:sz w:val="28"/>
        </w:rPr>
      </w:pPr>
      <w:r w:rsidRPr="00FD0DE1">
        <w:rPr>
          <w:sz w:val="28"/>
        </w:rPr>
        <w:t xml:space="preserve">В результате НДС в Южной Корее выполняет преимущественно фискальную функцию — обеспечивает стабильные и предсказуемые поступления в государственный бюджет, не неся дополнительной нагрузки в виде инструмента социальной политики или стимулирования экспорта. </w:t>
      </w:r>
      <w:proofErr w:type="gramStart"/>
      <w:r w:rsidRPr="00FD0DE1">
        <w:rPr>
          <w:sz w:val="28"/>
        </w:rPr>
        <w:t>Это заметно отличает южнокорейскую модель от российской системы налогообложения, где НДС одновременно решает несколько задач: посредством пониженной ставки в 10 %</w:t>
      </w:r>
      <w:r w:rsidR="00AE7239">
        <w:rPr>
          <w:rStyle w:val="a9"/>
          <w:sz w:val="28"/>
        </w:rPr>
        <w:footnoteReference w:id="5"/>
      </w:r>
      <w:r w:rsidRPr="00FD0DE1">
        <w:rPr>
          <w:sz w:val="28"/>
        </w:rPr>
        <w:t xml:space="preserve"> регулируется стоимость социально значимых товаров (отдельные категории продовольствия, детские товары, медицинская продукция), через нулевую ставку стимулируется экспортный потенциал предприятий, а льготное налогообложение отдельных видов товаров и услуг выступает механизмом поддержки приоритетных отраслей экономики.</w:t>
      </w:r>
      <w:proofErr w:type="gramEnd"/>
    </w:p>
    <w:p w:rsidR="00FD0DE1" w:rsidRPr="00FD0DE1" w:rsidRDefault="00FD0DE1" w:rsidP="00FD0DE1">
      <w:pPr>
        <w:pStyle w:val="a3"/>
        <w:spacing w:line="360" w:lineRule="auto"/>
        <w:jc w:val="both"/>
        <w:rPr>
          <w:sz w:val="28"/>
        </w:rPr>
      </w:pPr>
      <w:r w:rsidRPr="00FD0DE1">
        <w:rPr>
          <w:sz w:val="28"/>
        </w:rPr>
        <w:t xml:space="preserve">Существенные различия прослеживаются и в подходах к </w:t>
      </w:r>
      <w:proofErr w:type="spellStart"/>
      <w:r w:rsidRPr="00FD0DE1">
        <w:rPr>
          <w:sz w:val="28"/>
        </w:rPr>
        <w:t>цифровизации</w:t>
      </w:r>
      <w:proofErr w:type="spellEnd"/>
      <w:r w:rsidRPr="00FD0DE1">
        <w:rPr>
          <w:sz w:val="28"/>
        </w:rPr>
        <w:t xml:space="preserve"> налогового администрирования, что отражает принципиально разные философии взаимодействия государства и бизнеса в двух странах. В России система налогового контроля, реализуемая Федеральной налоговой службой, </w:t>
      </w:r>
      <w:r w:rsidRPr="00FD0DE1">
        <w:rPr>
          <w:sz w:val="28"/>
        </w:rPr>
        <w:lastRenderedPageBreak/>
        <w:t xml:space="preserve">строится на принципе предварительного недоверия к налогоплательщику. </w:t>
      </w:r>
      <w:proofErr w:type="gramStart"/>
      <w:r w:rsidRPr="00FD0DE1">
        <w:rPr>
          <w:sz w:val="28"/>
        </w:rPr>
        <w:t>Это проявляется в жёстком предварительном контроле через систему камеральных и выездных проверок, регламентированных статьёй 30 НК РФ, обязательной реализации электронного документооборота с соблюдением строгих форматов и сроков, многоуровневой верификации данных (сопоставление информации из банковских операций, деклараций, контрольных соотношений и иных источников), а также в акценте на предотвращение нарушений уже на стадии подачи отчётности.</w:t>
      </w:r>
      <w:proofErr w:type="gramEnd"/>
      <w:r w:rsidRPr="00FD0DE1">
        <w:rPr>
          <w:sz w:val="28"/>
        </w:rPr>
        <w:t xml:space="preserve"> Подобный подход, с одной стороны, повышает собираемость налогов и снижает риски уклонения, но с другой — создаёт значительную административную нагрузку на бизнес, требуя от компаний тщательного соблюдения многочисленных процедур и хранения обширного пакета подтверждающих документов.</w:t>
      </w:r>
    </w:p>
    <w:p w:rsidR="00FD0DE1" w:rsidRDefault="00FD0DE1" w:rsidP="00FD0DE1">
      <w:pPr>
        <w:pStyle w:val="a3"/>
        <w:spacing w:line="360" w:lineRule="auto"/>
        <w:jc w:val="both"/>
        <w:rPr>
          <w:sz w:val="28"/>
        </w:rPr>
      </w:pPr>
      <w:r w:rsidRPr="00FD0DE1">
        <w:rPr>
          <w:sz w:val="28"/>
        </w:rPr>
        <w:t xml:space="preserve">В Республике Корея </w:t>
      </w:r>
      <w:proofErr w:type="spellStart"/>
      <w:r w:rsidRPr="00FD0DE1">
        <w:rPr>
          <w:sz w:val="28"/>
        </w:rPr>
        <w:t>National</w:t>
      </w:r>
      <w:proofErr w:type="spellEnd"/>
      <w:r w:rsidRPr="00FD0DE1">
        <w:rPr>
          <w:sz w:val="28"/>
        </w:rPr>
        <w:t xml:space="preserve"> </w:t>
      </w:r>
      <w:proofErr w:type="spellStart"/>
      <w:r w:rsidRPr="00FD0DE1">
        <w:rPr>
          <w:sz w:val="28"/>
        </w:rPr>
        <w:t>Tax</w:t>
      </w:r>
      <w:proofErr w:type="spellEnd"/>
      <w:r w:rsidRPr="00FD0DE1">
        <w:rPr>
          <w:sz w:val="28"/>
        </w:rPr>
        <w:t xml:space="preserve"> </w:t>
      </w:r>
      <w:proofErr w:type="spellStart"/>
      <w:r w:rsidRPr="00FD0DE1">
        <w:rPr>
          <w:sz w:val="28"/>
        </w:rPr>
        <w:t>Service</w:t>
      </w:r>
      <w:proofErr w:type="spellEnd"/>
      <w:r w:rsidRPr="00FD0DE1">
        <w:rPr>
          <w:sz w:val="28"/>
        </w:rPr>
        <w:t xml:space="preserve"> (NTS)</w:t>
      </w:r>
      <w:r w:rsidR="00884EEC">
        <w:rPr>
          <w:rStyle w:val="a9"/>
          <w:sz w:val="28"/>
        </w:rPr>
        <w:footnoteReference w:id="6"/>
      </w:r>
      <w:r w:rsidRPr="00FD0DE1">
        <w:rPr>
          <w:sz w:val="28"/>
        </w:rPr>
        <w:t xml:space="preserve"> придерживается сервисной модели взаимодействия с налогоплательщиками, где государство берёт на себя существенную часть расчётной и аналитической работы. В рамках этой модели налоговые органы автоматически формируют предварительные налоговые расчёты на основе имеющихся у них данных, предоставляют предприятиям предварительные оценки налоговых обязательств, позволяя тем самым заранее скорректировать отчётность и избежать ошибок. Проверочные процедуры инициируются только при выявлении существенных расхождений или аномалий, а не в плановом порядке, что снижает частоту вмешательств в хозяйственную деятельность компаний. Ключевой акцент сделан на содействии бизнесу в правильном исчислении налогов, а не на поиске нарушений: NTS ориентирована на разъяснение норм, помощь в заполнении форм и предупреждение возможных неточностей до подачи деклараций. Такой подход не только упрощает жизнь предпринимателям, но и повышает доверие к налоговой системе в целом, стимулируя добровольное соблюдение</w:t>
      </w:r>
      <w:r w:rsidR="00AE7239">
        <w:rPr>
          <w:sz w:val="28"/>
        </w:rPr>
        <w:t xml:space="preserve"> </w:t>
      </w:r>
      <w:r w:rsidRPr="00FD0DE1">
        <w:rPr>
          <w:sz w:val="28"/>
        </w:rPr>
        <w:lastRenderedPageBreak/>
        <w:t xml:space="preserve">законодательства и сокращая </w:t>
      </w:r>
      <w:proofErr w:type="gramStart"/>
      <w:r w:rsidRPr="00FD0DE1">
        <w:rPr>
          <w:sz w:val="28"/>
        </w:rPr>
        <w:t>издержки</w:t>
      </w:r>
      <w:proofErr w:type="gramEnd"/>
      <w:r w:rsidRPr="00FD0DE1">
        <w:rPr>
          <w:sz w:val="28"/>
        </w:rPr>
        <w:t xml:space="preserve"> как бизнеса, так и государства на администрирование налогов.</w:t>
      </w:r>
    </w:p>
    <w:p w:rsidR="000635FC" w:rsidRPr="00326C98" w:rsidRDefault="000635FC" w:rsidP="00FD0DE1">
      <w:pPr>
        <w:pStyle w:val="a3"/>
        <w:spacing w:line="360" w:lineRule="auto"/>
        <w:jc w:val="both"/>
        <w:rPr>
          <w:b/>
          <w:sz w:val="28"/>
        </w:rPr>
      </w:pPr>
      <w:r w:rsidRPr="00326C98">
        <w:rPr>
          <w:b/>
          <w:sz w:val="28"/>
        </w:rPr>
        <w:t xml:space="preserve">Приведем сравнительную таблицу по </w:t>
      </w:r>
      <w:proofErr w:type="gramStart"/>
      <w:r w:rsidRPr="00326C98">
        <w:rPr>
          <w:b/>
          <w:sz w:val="28"/>
        </w:rPr>
        <w:t>корпоративному</w:t>
      </w:r>
      <w:proofErr w:type="gramEnd"/>
      <w:r w:rsidRPr="00326C98">
        <w:rPr>
          <w:b/>
          <w:sz w:val="28"/>
        </w:rPr>
        <w:t xml:space="preserve"> </w:t>
      </w:r>
      <w:proofErr w:type="spellStart"/>
      <w:r w:rsidRPr="00326C98">
        <w:rPr>
          <w:b/>
          <w:sz w:val="28"/>
        </w:rPr>
        <w:t>налогооблажению</w:t>
      </w:r>
      <w:proofErr w:type="spellEnd"/>
      <w:r w:rsidRPr="00326C98">
        <w:rPr>
          <w:b/>
          <w:sz w:val="28"/>
        </w:rPr>
        <w:t xml:space="preserve"> России и Южной Кореи: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884EEC" w:rsidTr="00884EEC">
        <w:tc>
          <w:tcPr>
            <w:tcW w:w="3285" w:type="dxa"/>
          </w:tcPr>
          <w:p w:rsidR="00884EEC" w:rsidRDefault="00884EEC" w:rsidP="00884EEC">
            <w:pPr>
              <w:pStyle w:val="a3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Элемент</w:t>
            </w:r>
          </w:p>
        </w:tc>
        <w:tc>
          <w:tcPr>
            <w:tcW w:w="3285" w:type="dxa"/>
          </w:tcPr>
          <w:p w:rsid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Россия</w:t>
            </w:r>
          </w:p>
        </w:tc>
        <w:tc>
          <w:tcPr>
            <w:tcW w:w="3285" w:type="dxa"/>
          </w:tcPr>
          <w:p w:rsid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Южная Корея</w:t>
            </w:r>
          </w:p>
        </w:tc>
      </w:tr>
      <w:tr w:rsidR="00884EEC" w:rsidRPr="00E253EA" w:rsidTr="00884EEC">
        <w:tc>
          <w:tcPr>
            <w:tcW w:w="3285" w:type="dxa"/>
          </w:tcPr>
          <w:p w:rsid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Нормативная база</w:t>
            </w:r>
          </w:p>
        </w:tc>
        <w:tc>
          <w:tcPr>
            <w:tcW w:w="3285" w:type="dxa"/>
          </w:tcPr>
          <w:p w:rsid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Налоговый Кодекс РФ (две части)</w:t>
            </w:r>
          </w:p>
        </w:tc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Corporate Tax Act, National Tax Basic Law</w:t>
            </w:r>
          </w:p>
        </w:tc>
      </w:tr>
      <w:tr w:rsidR="00884EEC" w:rsidRPr="00884EEC" w:rsidTr="00884EEC"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Налог на прибыль </w:t>
            </w:r>
          </w:p>
        </w:tc>
        <w:tc>
          <w:tcPr>
            <w:tcW w:w="3285" w:type="dxa"/>
          </w:tcPr>
          <w:p w:rsidR="00884EEC" w:rsidRPr="00884EEC" w:rsidRDefault="000635F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Единая ставка 25</w:t>
            </w:r>
            <w:r w:rsidR="00884EEC">
              <w:rPr>
                <w:sz w:val="28"/>
              </w:rPr>
              <w:t>%</w:t>
            </w:r>
          </w:p>
        </w:tc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Прогрессивная шкала 10-25%</w:t>
            </w:r>
          </w:p>
        </w:tc>
      </w:tr>
      <w:tr w:rsidR="00884EEC" w:rsidRPr="00884EEC" w:rsidTr="00884EEC"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Налог на добавленную стоимость </w:t>
            </w:r>
          </w:p>
        </w:tc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Многоуровневые ставки: 20%, 10%, 0%</w:t>
            </w:r>
          </w:p>
        </w:tc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Единая ставка </w:t>
            </w:r>
            <w:r>
              <w:rPr>
                <w:sz w:val="28"/>
                <w:lang w:val="en-US"/>
              </w:rPr>
              <w:t>VAT</w:t>
            </w:r>
            <w:r>
              <w:rPr>
                <w:sz w:val="28"/>
              </w:rPr>
              <w:t>-10%</w:t>
            </w:r>
          </w:p>
        </w:tc>
      </w:tr>
      <w:tr w:rsidR="00884EEC" w:rsidRPr="00884EEC" w:rsidTr="00884EEC"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Специальные режимы</w:t>
            </w:r>
          </w:p>
        </w:tc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УСН, ЕСХН</w:t>
            </w:r>
            <w:proofErr w:type="gramStart"/>
            <w:r>
              <w:rPr>
                <w:sz w:val="28"/>
              </w:rPr>
              <w:t>,А</w:t>
            </w:r>
            <w:proofErr w:type="gramEnd"/>
            <w:r>
              <w:rPr>
                <w:sz w:val="28"/>
              </w:rPr>
              <w:t>УСН</w:t>
            </w:r>
          </w:p>
        </w:tc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Отсутствуют </w:t>
            </w:r>
          </w:p>
        </w:tc>
      </w:tr>
      <w:tr w:rsidR="00884EEC" w:rsidRPr="00884EEC" w:rsidTr="00884EEC"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Администрирование </w:t>
            </w:r>
          </w:p>
        </w:tc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Контрольное</w:t>
            </w:r>
            <w:proofErr w:type="gramEnd"/>
            <w:r>
              <w:rPr>
                <w:sz w:val="28"/>
              </w:rPr>
              <w:t>, акцент на проверках</w:t>
            </w:r>
          </w:p>
        </w:tc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Сервисное</w:t>
            </w:r>
            <w:proofErr w:type="gramEnd"/>
            <w:r>
              <w:rPr>
                <w:sz w:val="28"/>
              </w:rPr>
              <w:t>, акцент на доверии</w:t>
            </w:r>
          </w:p>
        </w:tc>
      </w:tr>
      <w:tr w:rsidR="00884EEC" w:rsidRPr="00884EEC" w:rsidTr="00884EEC"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Преференции</w:t>
            </w:r>
          </w:p>
        </w:tc>
        <w:tc>
          <w:tcPr>
            <w:tcW w:w="3285" w:type="dxa"/>
          </w:tcPr>
          <w:p w:rsidR="00884EEC" w:rsidRPr="00884EEC" w:rsidRDefault="00884EEC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Выбор режима, льготы по отраслям</w:t>
            </w:r>
          </w:p>
        </w:tc>
        <w:tc>
          <w:tcPr>
            <w:tcW w:w="3285" w:type="dxa"/>
          </w:tcPr>
          <w:p w:rsidR="00884EEC" w:rsidRPr="00884EEC" w:rsidRDefault="00737172" w:rsidP="00FD0DE1">
            <w:pPr>
              <w:pStyle w:val="a3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Встроенные налоговые кредиты и каникулы</w:t>
            </w:r>
          </w:p>
        </w:tc>
      </w:tr>
    </w:tbl>
    <w:p w:rsidR="005A538C" w:rsidRPr="005A538C" w:rsidRDefault="00CF2FF2" w:rsidP="005A5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38C">
        <w:rPr>
          <w:rFonts w:ascii="Times New Roman" w:hAnsi="Times New Roman" w:cs="Times New Roman"/>
          <w:sz w:val="28"/>
          <w:szCs w:val="28"/>
        </w:rPr>
        <w:t>Таким образом, институциональные различия двух систем отражают противоположные стратегии налогового регулирования. Российская модель делает акцент на гибкости, предоставляя налогоплательщикам возможность выбора оптимального режима и точечного стимулирования отдельных отраслей, но сопряжена с высокими административными издержками и рисками потери льготного статуса.</w:t>
      </w:r>
      <w:r w:rsidR="00326C98" w:rsidRPr="005A538C">
        <w:rPr>
          <w:rFonts w:ascii="Times New Roman" w:hAnsi="Times New Roman" w:cs="Times New Roman"/>
          <w:sz w:val="28"/>
          <w:szCs w:val="28"/>
        </w:rPr>
        <w:t xml:space="preserve"> </w:t>
      </w:r>
      <w:r w:rsidR="005A538C" w:rsidRPr="005A538C">
        <w:rPr>
          <w:rFonts w:ascii="Times New Roman" w:hAnsi="Times New Roman" w:cs="Times New Roman"/>
          <w:sz w:val="28"/>
          <w:szCs w:val="28"/>
        </w:rPr>
        <w:t>В целях совершенствования механизма налогообложения прибыли в Российской Федерации допустимо изучить опыт Республики Корея и инициировать корректировку статьи</w:t>
      </w:r>
      <w:r w:rsidR="005A538C">
        <w:rPr>
          <w:rFonts w:ascii="Times New Roman" w:hAnsi="Times New Roman" w:cs="Times New Roman"/>
          <w:sz w:val="28"/>
          <w:szCs w:val="28"/>
        </w:rPr>
        <w:t xml:space="preserve"> </w:t>
      </w:r>
      <w:r w:rsidR="005A538C" w:rsidRPr="005A538C">
        <w:rPr>
          <w:rFonts w:ascii="Times New Roman" w:hAnsi="Times New Roman" w:cs="Times New Roman"/>
          <w:sz w:val="28"/>
          <w:szCs w:val="28"/>
        </w:rPr>
        <w:t> 284 НК РФ, предусмотрев введение прогрессивных налоговы</w:t>
      </w:r>
      <w:r w:rsidR="005A538C">
        <w:rPr>
          <w:rFonts w:ascii="Times New Roman" w:hAnsi="Times New Roman" w:cs="Times New Roman"/>
          <w:sz w:val="28"/>
          <w:szCs w:val="28"/>
        </w:rPr>
        <w:t xml:space="preserve">х ставок. Так, базовую ставку в </w:t>
      </w:r>
      <w:r w:rsidR="005A538C" w:rsidRPr="005A538C">
        <w:rPr>
          <w:rFonts w:ascii="Times New Roman" w:hAnsi="Times New Roman" w:cs="Times New Roman"/>
          <w:sz w:val="28"/>
          <w:szCs w:val="28"/>
        </w:rPr>
        <w:t>размере</w:t>
      </w:r>
      <w:r w:rsidR="005A538C">
        <w:rPr>
          <w:rFonts w:ascii="Times New Roman" w:hAnsi="Times New Roman" w:cs="Times New Roman"/>
          <w:sz w:val="28"/>
          <w:szCs w:val="28"/>
        </w:rPr>
        <w:t xml:space="preserve"> </w:t>
      </w:r>
      <w:r w:rsidR="005A538C" w:rsidRPr="005A538C">
        <w:rPr>
          <w:rStyle w:val="mord"/>
          <w:rFonts w:ascii="Times New Roman" w:hAnsi="Times New Roman" w:cs="Times New Roman"/>
          <w:sz w:val="28"/>
          <w:szCs w:val="28"/>
        </w:rPr>
        <w:t>10%</w:t>
      </w:r>
      <w:r w:rsidR="005A538C">
        <w:rPr>
          <w:rStyle w:val="mord"/>
          <w:rFonts w:ascii="Times New Roman" w:hAnsi="Times New Roman" w:cs="Times New Roman"/>
          <w:sz w:val="28"/>
          <w:szCs w:val="28"/>
        </w:rPr>
        <w:t xml:space="preserve"> </w:t>
      </w:r>
      <w:r w:rsidR="005A538C">
        <w:rPr>
          <w:rFonts w:ascii="Times New Roman" w:hAnsi="Times New Roman" w:cs="Times New Roman"/>
          <w:sz w:val="28"/>
          <w:szCs w:val="28"/>
        </w:rPr>
        <w:t xml:space="preserve">можно установить для прибыли, </w:t>
      </w:r>
      <w:r w:rsidR="005A538C" w:rsidRPr="005A538C">
        <w:rPr>
          <w:rFonts w:ascii="Times New Roman" w:hAnsi="Times New Roman" w:cs="Times New Roman"/>
          <w:sz w:val="28"/>
          <w:szCs w:val="28"/>
        </w:rPr>
        <w:t>не превышающей </w:t>
      </w:r>
      <w:r w:rsidR="005A538C" w:rsidRPr="005A538C">
        <w:rPr>
          <w:rStyle w:val="mord"/>
          <w:rFonts w:ascii="Times New Roman" w:hAnsi="Times New Roman" w:cs="Times New Roman"/>
          <w:sz w:val="28"/>
          <w:szCs w:val="28"/>
        </w:rPr>
        <w:t>100</w:t>
      </w:r>
      <w:r w:rsidR="005A538C" w:rsidRPr="005A538C">
        <w:rPr>
          <w:rFonts w:ascii="Times New Roman" w:hAnsi="Times New Roman" w:cs="Times New Roman"/>
          <w:sz w:val="28"/>
          <w:szCs w:val="28"/>
        </w:rPr>
        <w:t> </w:t>
      </w:r>
      <w:proofErr w:type="gramStart"/>
      <w:r w:rsidR="005A538C" w:rsidRPr="005A538C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5A538C" w:rsidRPr="005A538C">
        <w:rPr>
          <w:rFonts w:ascii="Times New Roman" w:hAnsi="Times New Roman" w:cs="Times New Roman"/>
          <w:sz w:val="28"/>
          <w:szCs w:val="28"/>
        </w:rPr>
        <w:t> рублей, ставку </w:t>
      </w:r>
      <w:r w:rsidR="005A538C" w:rsidRPr="005A538C">
        <w:rPr>
          <w:rStyle w:val="mord"/>
          <w:rFonts w:ascii="Times New Roman" w:hAnsi="Times New Roman" w:cs="Times New Roman"/>
          <w:sz w:val="28"/>
          <w:szCs w:val="28"/>
        </w:rPr>
        <w:t>15%</w:t>
      </w:r>
      <w:r w:rsidR="005A538C" w:rsidRPr="005A538C">
        <w:rPr>
          <w:rFonts w:ascii="Times New Roman" w:hAnsi="Times New Roman" w:cs="Times New Roman"/>
          <w:sz w:val="28"/>
          <w:szCs w:val="28"/>
        </w:rPr>
        <w:t> — для прибыли до </w:t>
      </w:r>
      <w:r w:rsidR="005A538C" w:rsidRPr="005A538C">
        <w:rPr>
          <w:rStyle w:val="mord"/>
          <w:rFonts w:ascii="Times New Roman" w:hAnsi="Times New Roman" w:cs="Times New Roman"/>
          <w:sz w:val="28"/>
          <w:szCs w:val="28"/>
        </w:rPr>
        <w:t>150</w:t>
      </w:r>
      <w:r w:rsidR="005A538C" w:rsidRPr="005A538C">
        <w:rPr>
          <w:rFonts w:ascii="Times New Roman" w:hAnsi="Times New Roman" w:cs="Times New Roman"/>
          <w:sz w:val="28"/>
          <w:szCs w:val="28"/>
        </w:rPr>
        <w:t> млн рублей, а далее — дифференцировать ставки в зависимости от величины прибыли.</w:t>
      </w:r>
    </w:p>
    <w:p w:rsidR="00CF2FF2" w:rsidRDefault="00CF2FF2" w:rsidP="00CF2FF2">
      <w:pPr>
        <w:pStyle w:val="a3"/>
        <w:spacing w:line="360" w:lineRule="auto"/>
        <w:jc w:val="both"/>
      </w:pPr>
      <w:r w:rsidRPr="00CF2FF2">
        <w:rPr>
          <w:sz w:val="28"/>
        </w:rPr>
        <w:lastRenderedPageBreak/>
        <w:t>Южнокорейская система ориентирована на предсказуемость и минимизацию бюрократической нагрузки, встраивая стимулирующие механизмы в единую налоговую модель и используя прогрессивную шкалу для адаптации нагрузки к финансовым возможностям предприятий.</w:t>
      </w:r>
      <w:r w:rsidR="000635FC">
        <w:rPr>
          <w:sz w:val="28"/>
        </w:rPr>
        <w:t xml:space="preserve"> </w:t>
      </w:r>
      <w:r w:rsidRPr="00CF2FF2">
        <w:rPr>
          <w:sz w:val="28"/>
        </w:rPr>
        <w:t xml:space="preserve"> Эти различия демонстрируют, что эффективность налоговой системы определяется не столько уровнем ставок, сколько качеством администрирования, степенью </w:t>
      </w:r>
      <w:proofErr w:type="spellStart"/>
      <w:r w:rsidRPr="00CF2FF2">
        <w:rPr>
          <w:sz w:val="28"/>
        </w:rPr>
        <w:t>цифровизации</w:t>
      </w:r>
      <w:proofErr w:type="spellEnd"/>
      <w:r w:rsidRPr="00CF2FF2">
        <w:rPr>
          <w:sz w:val="28"/>
        </w:rPr>
        <w:t xml:space="preserve"> процессов и согласованностью стимулирующих мер с долгосрочными экономическими приоритетами государства</w:t>
      </w:r>
      <w:r>
        <w:t>.</w:t>
      </w:r>
    </w:p>
    <w:p w:rsidR="00737172" w:rsidRPr="00250F2D" w:rsidRDefault="00737172" w:rsidP="00250F2D">
      <w:pPr>
        <w:pStyle w:val="a3"/>
        <w:spacing w:line="360" w:lineRule="auto"/>
        <w:jc w:val="both"/>
        <w:rPr>
          <w:b/>
        </w:rPr>
      </w:pPr>
      <w:r>
        <w:rPr>
          <w:b/>
        </w:rPr>
        <w:t>Список используемой литературы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250F2D">
        <w:rPr>
          <w:rFonts w:ascii="Times New Roman" w:hAnsi="Times New Roman" w:cs="Times New Roman"/>
          <w:sz w:val="24"/>
          <w:szCs w:val="28"/>
        </w:rPr>
        <w:t xml:space="preserve">Любимов, Н. А. Сравнительный анализ налоговых систем России, Канады, Швейцарии и Южной Кореи / Н. А. Любимов, О. Р. </w:t>
      </w:r>
      <w:proofErr w:type="spellStart"/>
      <w:r w:rsidRPr="00250F2D">
        <w:rPr>
          <w:rFonts w:ascii="Times New Roman" w:hAnsi="Times New Roman" w:cs="Times New Roman"/>
          <w:sz w:val="24"/>
          <w:szCs w:val="28"/>
        </w:rPr>
        <w:t>Мухамбеталиева</w:t>
      </w:r>
      <w:proofErr w:type="spellEnd"/>
      <w:r w:rsidRPr="00250F2D">
        <w:rPr>
          <w:rFonts w:ascii="Times New Roman" w:hAnsi="Times New Roman" w:cs="Times New Roman"/>
          <w:sz w:val="24"/>
          <w:szCs w:val="28"/>
        </w:rPr>
        <w:t xml:space="preserve">, К. С. Черноусова // </w:t>
      </w:r>
      <w:proofErr w:type="spellStart"/>
      <w:r w:rsidRPr="00250F2D">
        <w:rPr>
          <w:rFonts w:ascii="Times New Roman" w:hAnsi="Times New Roman" w:cs="Times New Roman"/>
          <w:sz w:val="24"/>
          <w:szCs w:val="28"/>
        </w:rPr>
        <w:t>КиберЛенинка</w:t>
      </w:r>
      <w:proofErr w:type="spellEnd"/>
      <w:r w:rsidRPr="00250F2D">
        <w:rPr>
          <w:rFonts w:ascii="Times New Roman" w:hAnsi="Times New Roman" w:cs="Times New Roman"/>
          <w:sz w:val="24"/>
          <w:szCs w:val="28"/>
        </w:rPr>
        <w:t>. – URL: </w:t>
      </w:r>
      <w:hyperlink r:id="rId9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</w:rPr>
          <w:t>https://cyberleninka.ru/article/n/sravnitelnyy-analiz-nalogovyh-sistem-rossii-kanady-shveytsarii-i-yuzhnoy-korei/viewer</w:t>
        </w:r>
      </w:hyperlink>
      <w:r w:rsidR="00250F2D">
        <w:rPr>
          <w:rFonts w:ascii="Times New Roman" w:hAnsi="Times New Roman" w:cs="Times New Roman"/>
          <w:sz w:val="24"/>
          <w:szCs w:val="28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</w:rPr>
        <w:t>(дата обращения: 15.12.2025).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250F2D">
        <w:rPr>
          <w:rFonts w:ascii="Times New Roman" w:hAnsi="Times New Roman" w:cs="Times New Roman"/>
          <w:sz w:val="24"/>
          <w:szCs w:val="28"/>
        </w:rPr>
        <w:t xml:space="preserve">Налоговый кодекс Российской Федерации (часть вторая) от 05.08.2000 № 117-ФЗ (ред. от 31.07.2025) // </w:t>
      </w:r>
      <w:proofErr w:type="spellStart"/>
      <w:r w:rsidRPr="00250F2D">
        <w:rPr>
          <w:rFonts w:ascii="Times New Roman" w:hAnsi="Times New Roman" w:cs="Times New Roman"/>
          <w:sz w:val="24"/>
          <w:szCs w:val="28"/>
        </w:rPr>
        <w:t>КонсультантПлюс</w:t>
      </w:r>
      <w:proofErr w:type="spellEnd"/>
      <w:r w:rsidRPr="00250F2D">
        <w:rPr>
          <w:rFonts w:ascii="Times New Roman" w:hAnsi="Times New Roman" w:cs="Times New Roman"/>
          <w:sz w:val="24"/>
          <w:szCs w:val="28"/>
        </w:rPr>
        <w:t>. – URL: </w:t>
      </w:r>
      <w:hyperlink r:id="rId10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</w:rPr>
          <w:t>https://www.consultant.ru/document/cons_doc_LAW_28165/</w:t>
        </w:r>
      </w:hyperlink>
      <w:r w:rsidR="00250F2D">
        <w:rPr>
          <w:rFonts w:ascii="Times New Roman" w:hAnsi="Times New Roman" w:cs="Times New Roman"/>
          <w:sz w:val="24"/>
          <w:szCs w:val="28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</w:rPr>
        <w:t> (дата обращения: 15.12.2025).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250F2D">
        <w:rPr>
          <w:rFonts w:ascii="Times New Roman" w:hAnsi="Times New Roman" w:cs="Times New Roman"/>
          <w:sz w:val="24"/>
          <w:szCs w:val="28"/>
        </w:rPr>
        <w:t>Федеральная налоговая служба Российской Федерации</w:t>
      </w:r>
      <w:proofErr w:type="gramStart"/>
      <w:r w:rsidRPr="00250F2D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250F2D">
        <w:rPr>
          <w:rFonts w:ascii="Times New Roman" w:hAnsi="Times New Roman" w:cs="Times New Roman"/>
          <w:sz w:val="24"/>
          <w:szCs w:val="28"/>
        </w:rPr>
        <w:t xml:space="preserve"> [официальный сайт]. – URL:</w:t>
      </w:r>
      <w:r w:rsidR="00250F2D" w:rsidRPr="00250F2D">
        <w:t xml:space="preserve"> </w:t>
      </w:r>
      <w:hyperlink r:id="rId11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</w:rPr>
          <w:t>https://www.nalog.gov.ru/</w:t>
        </w:r>
      </w:hyperlink>
      <w:r w:rsidR="00250F2D">
        <w:rPr>
          <w:rFonts w:ascii="Times New Roman" w:hAnsi="Times New Roman" w:cs="Times New Roman"/>
          <w:sz w:val="24"/>
          <w:szCs w:val="28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</w:rPr>
        <w:t> (дата обращения: 15.12.2025).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250F2D">
        <w:rPr>
          <w:rFonts w:ascii="Times New Roman" w:hAnsi="Times New Roman" w:cs="Times New Roman"/>
          <w:sz w:val="24"/>
          <w:szCs w:val="28"/>
        </w:rPr>
        <w:t>Чо</w:t>
      </w:r>
      <w:proofErr w:type="spellEnd"/>
      <w:r w:rsidRPr="00250F2D">
        <w:rPr>
          <w:rFonts w:ascii="Times New Roman" w:hAnsi="Times New Roman" w:cs="Times New Roman"/>
          <w:sz w:val="24"/>
          <w:szCs w:val="28"/>
        </w:rPr>
        <w:t xml:space="preserve">, Ы. Д. Элементы юридического состава налога в Республике Корея и Российской Федерации / Ы. Д. </w:t>
      </w:r>
      <w:proofErr w:type="spellStart"/>
      <w:r w:rsidRPr="00250F2D">
        <w:rPr>
          <w:rFonts w:ascii="Times New Roman" w:hAnsi="Times New Roman" w:cs="Times New Roman"/>
          <w:sz w:val="24"/>
          <w:szCs w:val="28"/>
        </w:rPr>
        <w:t>Чо</w:t>
      </w:r>
      <w:proofErr w:type="spellEnd"/>
      <w:r w:rsidRPr="00250F2D">
        <w:rPr>
          <w:rFonts w:ascii="Times New Roman" w:hAnsi="Times New Roman" w:cs="Times New Roman"/>
          <w:sz w:val="24"/>
          <w:szCs w:val="28"/>
        </w:rPr>
        <w:t xml:space="preserve"> // Актуальные проблемы российского права. – 2018. – № 5 (90). – С. 209–213. – DOI: </w:t>
      </w:r>
      <w:hyperlink r:id="rId12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</w:rPr>
          <w:t>http</w:t>
        </w:r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</w:rPr>
          <w:t>s</w:t>
        </w:r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</w:rPr>
          <w:t>:</w:t>
        </w:r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</w:rPr>
          <w:t>//doi.org/10.17803/1994-1471.2018.90.5.209-213</w:t>
        </w:r>
      </w:hyperlink>
      <w:r w:rsidR="00250F2D" w:rsidRPr="00250F2D">
        <w:rPr>
          <w:rFonts w:ascii="Times New Roman" w:hAnsi="Times New Roman" w:cs="Times New Roman"/>
          <w:sz w:val="24"/>
          <w:szCs w:val="28"/>
        </w:rPr>
        <w:t>.</w:t>
      </w:r>
      <w:r w:rsidR="00250F2D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</w:rPr>
      </w:pPr>
      <w:r w:rsidRPr="00250F2D">
        <w:rPr>
          <w:rFonts w:ascii="Times New Roman" w:hAnsi="Times New Roman" w:cs="Times New Roman"/>
          <w:sz w:val="24"/>
          <w:szCs w:val="28"/>
        </w:rPr>
        <w:t xml:space="preserve">Анализ налоговых систем Южной Кореи и России для выбора </w:t>
      </w:r>
      <w:proofErr w:type="gramStart"/>
      <w:r w:rsidRPr="00250F2D">
        <w:rPr>
          <w:rFonts w:ascii="Times New Roman" w:hAnsi="Times New Roman" w:cs="Times New Roman"/>
          <w:sz w:val="24"/>
          <w:szCs w:val="28"/>
        </w:rPr>
        <w:t>более оптимального</w:t>
      </w:r>
      <w:proofErr w:type="gramEnd"/>
      <w:r w:rsidRPr="00250F2D">
        <w:rPr>
          <w:rFonts w:ascii="Times New Roman" w:hAnsi="Times New Roman" w:cs="Times New Roman"/>
          <w:sz w:val="24"/>
          <w:szCs w:val="28"/>
        </w:rPr>
        <w:t xml:space="preserve"> места ведения предпринимательской деятельности // </w:t>
      </w:r>
      <w:proofErr w:type="spellStart"/>
      <w:r w:rsidRPr="00250F2D">
        <w:rPr>
          <w:rFonts w:ascii="Times New Roman" w:hAnsi="Times New Roman" w:cs="Times New Roman"/>
          <w:sz w:val="24"/>
          <w:szCs w:val="28"/>
        </w:rPr>
        <w:t>КиберЛенинка</w:t>
      </w:r>
      <w:proofErr w:type="spellEnd"/>
      <w:r w:rsidRPr="00250F2D">
        <w:rPr>
          <w:rFonts w:ascii="Times New Roman" w:hAnsi="Times New Roman" w:cs="Times New Roman"/>
          <w:sz w:val="24"/>
          <w:szCs w:val="28"/>
        </w:rPr>
        <w:t>. – URL: </w:t>
      </w:r>
      <w:hyperlink r:id="rId13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</w:rPr>
          <w:t>https://cyberleninka.ru/article/n/analiz-nalogovyh-sistem-yuzhnoy-korei-i-rossii-dlya-vybora-bolee-optimalnogo-mesta-vedeniya-predprinimatelskoy-deyatelnosti</w:t>
        </w:r>
      </w:hyperlink>
      <w:r w:rsidR="00250F2D">
        <w:rPr>
          <w:rFonts w:ascii="Times New Roman" w:hAnsi="Times New Roman" w:cs="Times New Roman"/>
          <w:sz w:val="24"/>
          <w:szCs w:val="28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</w:rPr>
        <w:t>(дата обращения: 15.12.2025).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250F2D">
        <w:rPr>
          <w:rStyle w:val="af0"/>
          <w:rFonts w:ascii="Times New Roman" w:hAnsi="Times New Roman" w:cs="Times New Roman"/>
          <w:sz w:val="24"/>
          <w:szCs w:val="28"/>
          <w:lang w:val="en-US"/>
        </w:rPr>
        <w:t>Corporate Tax Act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 [Electronic resource</w:t>
      </w:r>
      <w:proofErr w:type="gramStart"/>
      <w:r w:rsidRPr="00250F2D">
        <w:rPr>
          <w:rFonts w:ascii="Times New Roman" w:hAnsi="Times New Roman" w:cs="Times New Roman"/>
          <w:sz w:val="24"/>
          <w:szCs w:val="28"/>
          <w:lang w:val="en-US"/>
        </w:rPr>
        <w:t>] :</w:t>
      </w:r>
      <w:proofErr w:type="gramEnd"/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Act No. 10706, Mar. 30, 2011 (Rep. of Korea). – URL: </w:t>
      </w:r>
      <w:hyperlink r:id="rId14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https://www.law.go.kr/engLsSc.do?tabMenuId=1&amp;query=corporate%20tax</w:t>
        </w:r>
      </w:hyperlink>
      <w:r w:rsidR="00250F2D"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(</w:t>
      </w:r>
      <w:r w:rsidRPr="00250F2D">
        <w:rPr>
          <w:rFonts w:ascii="Times New Roman" w:hAnsi="Times New Roman" w:cs="Times New Roman"/>
          <w:sz w:val="24"/>
          <w:szCs w:val="28"/>
        </w:rPr>
        <w:t>дата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</w:rPr>
        <w:t>обращения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: 15.12.2025).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250F2D">
        <w:rPr>
          <w:rStyle w:val="af0"/>
          <w:rFonts w:ascii="Times New Roman" w:hAnsi="Times New Roman" w:cs="Times New Roman"/>
          <w:sz w:val="24"/>
          <w:szCs w:val="28"/>
          <w:lang w:val="en-US"/>
        </w:rPr>
        <w:t>National Tax Basic Law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 [Electronic resource</w:t>
      </w:r>
      <w:proofErr w:type="gramStart"/>
      <w:r w:rsidRPr="00250F2D">
        <w:rPr>
          <w:rFonts w:ascii="Times New Roman" w:hAnsi="Times New Roman" w:cs="Times New Roman"/>
          <w:sz w:val="24"/>
          <w:szCs w:val="28"/>
          <w:lang w:val="en-US"/>
        </w:rPr>
        <w:t>] :</w:t>
      </w:r>
      <w:proofErr w:type="gramEnd"/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Act No. 128, Dec. 31, 1949 (Rep. of Korea). – URL: </w:t>
      </w:r>
      <w:hyperlink r:id="rId15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https://www.law.go.kr/LSW/eng/engLsSc.do</w:t>
        </w:r>
      </w:hyperlink>
      <w:r w:rsidR="00250F2D"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 (</w:t>
      </w:r>
      <w:r w:rsidRPr="00250F2D">
        <w:rPr>
          <w:rFonts w:ascii="Times New Roman" w:hAnsi="Times New Roman" w:cs="Times New Roman"/>
          <w:sz w:val="24"/>
          <w:szCs w:val="28"/>
        </w:rPr>
        <w:t>дата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</w:rPr>
        <w:t>обращения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: 15.12.2025).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National Tax Service of the Republic of </w:t>
      </w:r>
      <w:proofErr w:type="gramStart"/>
      <w:r w:rsidRPr="00250F2D">
        <w:rPr>
          <w:rFonts w:ascii="Times New Roman" w:hAnsi="Times New Roman" w:cs="Times New Roman"/>
          <w:sz w:val="24"/>
          <w:szCs w:val="28"/>
          <w:lang w:val="en-US"/>
        </w:rPr>
        <w:t>Korea :</w:t>
      </w:r>
      <w:proofErr w:type="gramEnd"/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Official Information Portal [Electronic resource]. – URL: </w:t>
      </w:r>
      <w:hyperlink r:id="rId16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https://www.nts.go.kr/eng/</w:t>
        </w:r>
      </w:hyperlink>
      <w:r w:rsidR="00250F2D"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(</w:t>
      </w:r>
      <w:r w:rsidRPr="00250F2D">
        <w:rPr>
          <w:rFonts w:ascii="Times New Roman" w:hAnsi="Times New Roman" w:cs="Times New Roman"/>
          <w:sz w:val="24"/>
          <w:szCs w:val="28"/>
        </w:rPr>
        <w:t>дата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</w:rPr>
        <w:t>обращения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: 15.12.2025).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OECD Corporate Tax Statistics 2024 [Electronic resource] / OECD. – </w:t>
      </w:r>
      <w:proofErr w:type="gramStart"/>
      <w:r w:rsidRPr="00250F2D">
        <w:rPr>
          <w:rFonts w:ascii="Times New Roman" w:hAnsi="Times New Roman" w:cs="Times New Roman"/>
          <w:sz w:val="24"/>
          <w:szCs w:val="28"/>
          <w:lang w:val="en-US"/>
        </w:rPr>
        <w:t>Paris :</w:t>
      </w:r>
      <w:proofErr w:type="gramEnd"/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OECD Publishing, 2024. – URL: </w:t>
      </w:r>
      <w:hyperlink r:id="rId17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https://www.oecd.org/tax/tax-policy/corporate-tax-statistics-database.htm</w:t>
        </w:r>
      </w:hyperlink>
      <w:r w:rsidR="00250F2D"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(</w:t>
      </w:r>
      <w:r w:rsidRPr="00250F2D">
        <w:rPr>
          <w:rFonts w:ascii="Times New Roman" w:hAnsi="Times New Roman" w:cs="Times New Roman"/>
          <w:sz w:val="24"/>
          <w:szCs w:val="28"/>
        </w:rPr>
        <w:t>дата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</w:rPr>
        <w:t>обращения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: 15.12.2025).</w:t>
      </w:r>
    </w:p>
    <w:p w:rsidR="005A538C" w:rsidRPr="00250F2D" w:rsidRDefault="005A538C" w:rsidP="00250F2D">
      <w:pPr>
        <w:pStyle w:val="ae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 w:rsidRPr="00250F2D">
        <w:rPr>
          <w:rStyle w:val="af0"/>
          <w:rFonts w:ascii="Times New Roman" w:hAnsi="Times New Roman" w:cs="Times New Roman"/>
          <w:sz w:val="24"/>
          <w:szCs w:val="28"/>
          <w:lang w:val="en-US"/>
        </w:rPr>
        <w:lastRenderedPageBreak/>
        <w:t>Value Added Tax Act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 [Electronic resource</w:t>
      </w:r>
      <w:proofErr w:type="gramStart"/>
      <w:r w:rsidRPr="00250F2D">
        <w:rPr>
          <w:rFonts w:ascii="Times New Roman" w:hAnsi="Times New Roman" w:cs="Times New Roman"/>
          <w:sz w:val="24"/>
          <w:szCs w:val="28"/>
          <w:lang w:val="en-US"/>
        </w:rPr>
        <w:t>] :</w:t>
      </w:r>
      <w:proofErr w:type="gramEnd"/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Act No. 2936, Dec. 31, 1976 (Rep. of Korea). – URL: </w:t>
      </w:r>
      <w:hyperlink r:id="rId18" w:history="1">
        <w:r w:rsidR="00250F2D" w:rsidRPr="005D51D6">
          <w:rPr>
            <w:rStyle w:val="a4"/>
            <w:rFonts w:ascii="Times New Roman" w:hAnsi="Times New Roman" w:cs="Times New Roman"/>
            <w:sz w:val="24"/>
            <w:szCs w:val="28"/>
            <w:lang w:val="en-US"/>
          </w:rPr>
          <w:t>https://www.law.go.kr/engLsSc.do?tabMenuId=1&amp;query=value%20added%20tax</w:t>
        </w:r>
      </w:hyperlink>
      <w:r w:rsidR="00250F2D"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(</w:t>
      </w:r>
      <w:r w:rsidRPr="00250F2D">
        <w:rPr>
          <w:rFonts w:ascii="Times New Roman" w:hAnsi="Times New Roman" w:cs="Times New Roman"/>
          <w:sz w:val="24"/>
          <w:szCs w:val="28"/>
        </w:rPr>
        <w:t>дата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250F2D">
        <w:rPr>
          <w:rFonts w:ascii="Times New Roman" w:hAnsi="Times New Roman" w:cs="Times New Roman"/>
          <w:sz w:val="24"/>
          <w:szCs w:val="28"/>
        </w:rPr>
        <w:t>обращения</w:t>
      </w:r>
      <w:r w:rsidRPr="00250F2D">
        <w:rPr>
          <w:rFonts w:ascii="Times New Roman" w:hAnsi="Times New Roman" w:cs="Times New Roman"/>
          <w:sz w:val="24"/>
          <w:szCs w:val="28"/>
          <w:lang w:val="en-US"/>
        </w:rPr>
        <w:t>: 15.12.2025).</w:t>
      </w:r>
    </w:p>
    <w:p w:rsidR="006D1010" w:rsidRPr="00737172" w:rsidRDefault="006D1010" w:rsidP="006D1010">
      <w:pPr>
        <w:pStyle w:val="a3"/>
        <w:rPr>
          <w:lang w:val="en-US"/>
        </w:rPr>
      </w:pPr>
    </w:p>
    <w:p w:rsidR="008F6827" w:rsidRPr="00737172" w:rsidRDefault="002C0E96" w:rsidP="007F5B95">
      <w:pPr>
        <w:tabs>
          <w:tab w:val="left" w:pos="9639"/>
        </w:tabs>
        <w:ind w:left="-426" w:firstLine="709"/>
        <w:rPr>
          <w:lang w:val="en-US"/>
        </w:rPr>
      </w:pPr>
    </w:p>
    <w:p w:rsidR="007F5B95" w:rsidRPr="00737172" w:rsidRDefault="007F5B95">
      <w:pPr>
        <w:tabs>
          <w:tab w:val="left" w:pos="9639"/>
        </w:tabs>
        <w:ind w:left="-426" w:firstLine="709"/>
        <w:rPr>
          <w:lang w:val="en-US"/>
        </w:rPr>
      </w:pPr>
    </w:p>
    <w:sectPr w:rsidR="007F5B95" w:rsidRPr="00737172" w:rsidSect="007F5B95">
      <w:footerReference w:type="default" r:id="rId19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E96" w:rsidRDefault="002C0E96" w:rsidP="00CF2FF2">
      <w:pPr>
        <w:spacing w:after="0" w:line="240" w:lineRule="auto"/>
      </w:pPr>
      <w:r>
        <w:separator/>
      </w:r>
    </w:p>
  </w:endnote>
  <w:endnote w:type="continuationSeparator" w:id="0">
    <w:p w:rsidR="002C0E96" w:rsidRDefault="002C0E96" w:rsidP="00CF2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2772330"/>
      <w:docPartObj>
        <w:docPartGallery w:val="Page Numbers (Bottom of Page)"/>
        <w:docPartUnique/>
      </w:docPartObj>
    </w:sdtPr>
    <w:sdtEndPr/>
    <w:sdtContent>
      <w:p w:rsidR="00CF2FF2" w:rsidRDefault="00CF2FF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3EA">
          <w:rPr>
            <w:noProof/>
          </w:rPr>
          <w:t>2</w:t>
        </w:r>
        <w:r>
          <w:fldChar w:fldCharType="end"/>
        </w:r>
      </w:p>
    </w:sdtContent>
  </w:sdt>
  <w:p w:rsidR="00CF2FF2" w:rsidRDefault="00CF2FF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E96" w:rsidRDefault="002C0E96" w:rsidP="00CF2FF2">
      <w:pPr>
        <w:spacing w:after="0" w:line="240" w:lineRule="auto"/>
      </w:pPr>
      <w:r>
        <w:separator/>
      </w:r>
    </w:p>
  </w:footnote>
  <w:footnote w:type="continuationSeparator" w:id="0">
    <w:p w:rsidR="002C0E96" w:rsidRDefault="002C0E96" w:rsidP="00CF2FF2">
      <w:pPr>
        <w:spacing w:after="0" w:line="240" w:lineRule="auto"/>
      </w:pPr>
      <w:r>
        <w:continuationSeparator/>
      </w:r>
    </w:p>
  </w:footnote>
  <w:footnote w:id="1">
    <w:p w:rsidR="00FD0DE1" w:rsidRDefault="00FD0DE1">
      <w:pPr>
        <w:pStyle w:val="a7"/>
      </w:pPr>
      <w:r>
        <w:rPr>
          <w:rStyle w:val="a9"/>
        </w:rPr>
        <w:footnoteRef/>
      </w:r>
      <w:r>
        <w:t xml:space="preserve"> </w:t>
      </w:r>
      <w:r w:rsidRPr="00624F54">
        <w:t>"</w:t>
      </w:r>
      <w:r w:rsidRPr="00884EEC">
        <w:rPr>
          <w:rFonts w:ascii="Times New Roman" w:hAnsi="Times New Roman" w:cs="Times New Roman"/>
        </w:rPr>
        <w:t>Налоговый кодекс Российской Федерации (часть вторая)" от 05.08.2000 N 117-ФЗ (ред. от 31.07.2025) (с изм. и доп., вступ. в силу с 01.10.2025)</w:t>
      </w:r>
    </w:p>
  </w:footnote>
  <w:footnote w:id="2">
    <w:p w:rsidR="00FD0DE1" w:rsidRPr="005A538C" w:rsidRDefault="00FD0DE1" w:rsidP="005A538C">
      <w:pPr>
        <w:pStyle w:val="a3"/>
        <w:spacing w:before="0" w:beforeAutospacing="0" w:after="0" w:afterAutospacing="0"/>
        <w:rPr>
          <w:sz w:val="20"/>
          <w:szCs w:val="18"/>
          <w:lang w:val="en-US"/>
        </w:rPr>
      </w:pPr>
      <w:r w:rsidRPr="005A538C">
        <w:rPr>
          <w:rStyle w:val="a9"/>
          <w:sz w:val="20"/>
          <w:szCs w:val="18"/>
        </w:rPr>
        <w:footnoteRef/>
      </w:r>
      <w:r w:rsidRPr="005A538C">
        <w:rPr>
          <w:sz w:val="20"/>
          <w:szCs w:val="18"/>
          <w:lang w:val="en-US"/>
        </w:rPr>
        <w:t xml:space="preserve"> </w:t>
      </w:r>
      <w:r w:rsidR="00884EEC" w:rsidRPr="005A538C">
        <w:rPr>
          <w:sz w:val="20"/>
          <w:szCs w:val="18"/>
          <w:lang w:val="en-US"/>
        </w:rPr>
        <w:t xml:space="preserve"> </w:t>
      </w:r>
      <w:r w:rsidR="00884EEC" w:rsidRPr="005A538C">
        <w:rPr>
          <w:bCs/>
          <w:sz w:val="20"/>
          <w:szCs w:val="18"/>
          <w:lang w:val="en-US"/>
        </w:rPr>
        <w:t>Corporate Tax Act (Republic of Korea)</w:t>
      </w:r>
    </w:p>
  </w:footnote>
  <w:footnote w:id="3">
    <w:p w:rsidR="000635FC" w:rsidRPr="005A538C" w:rsidRDefault="000635FC" w:rsidP="005A538C">
      <w:pPr>
        <w:pStyle w:val="a7"/>
        <w:rPr>
          <w:rFonts w:ascii="Times New Roman" w:hAnsi="Times New Roman" w:cs="Times New Roman"/>
          <w:sz w:val="18"/>
          <w:szCs w:val="18"/>
          <w:lang w:val="en-US"/>
        </w:rPr>
      </w:pPr>
      <w:r w:rsidRPr="005A538C">
        <w:rPr>
          <w:rStyle w:val="a9"/>
          <w:rFonts w:ascii="Times New Roman" w:hAnsi="Times New Roman" w:cs="Times New Roman"/>
          <w:szCs w:val="18"/>
        </w:rPr>
        <w:footnoteRef/>
      </w:r>
      <w:r w:rsidRPr="005A538C">
        <w:rPr>
          <w:rFonts w:ascii="Times New Roman" w:hAnsi="Times New Roman" w:cs="Times New Roman"/>
          <w:szCs w:val="18"/>
          <w:lang w:val="en-US"/>
        </w:rPr>
        <w:t xml:space="preserve"> https://cyberleninka.ru/article/n/sravnitelnyy-analiz-nalogovyh-sistem-rossii-kanady-shveytsarii-i-yuzhnoy-korei/viewer</w:t>
      </w:r>
    </w:p>
  </w:footnote>
  <w:footnote w:id="4">
    <w:p w:rsidR="00884EEC" w:rsidRPr="00884EEC" w:rsidRDefault="00884EEC">
      <w:pPr>
        <w:pStyle w:val="a7"/>
        <w:rPr>
          <w:lang w:val="en-US"/>
        </w:rPr>
      </w:pPr>
      <w:r>
        <w:rPr>
          <w:rStyle w:val="a9"/>
        </w:rPr>
        <w:footnoteRef/>
      </w:r>
      <w:r w:rsidRPr="00884EEC">
        <w:rPr>
          <w:lang w:val="en-US"/>
        </w:rPr>
        <w:t xml:space="preserve"> </w:t>
      </w:r>
      <w:r w:rsidRPr="00884EEC">
        <w:rPr>
          <w:rFonts w:ascii="Times New Roman" w:hAnsi="Times New Roman" w:cs="Times New Roman"/>
          <w:lang w:val="en-US"/>
        </w:rPr>
        <w:t>Value Added Tax Act (Republic of Korea)</w:t>
      </w:r>
    </w:p>
  </w:footnote>
  <w:footnote w:id="5">
    <w:p w:rsidR="00AE7239" w:rsidRPr="007A3889" w:rsidRDefault="00AE7239">
      <w:pPr>
        <w:pStyle w:val="a7"/>
      </w:pPr>
      <w:r>
        <w:rPr>
          <w:rStyle w:val="a9"/>
        </w:rPr>
        <w:footnoteRef/>
      </w:r>
      <w:r w:rsidRPr="00AE7239">
        <w:t xml:space="preserve"> </w:t>
      </w:r>
      <w:proofErr w:type="spellStart"/>
      <w:r w:rsidRPr="00AE7239">
        <w:rPr>
          <w:rFonts w:ascii="Times New Roman" w:hAnsi="Times New Roman" w:cs="Times New Roman"/>
          <w:shd w:val="clear" w:color="auto" w:fill="FFFFFF"/>
        </w:rPr>
        <w:t>Чо</w:t>
      </w:r>
      <w:proofErr w:type="spellEnd"/>
      <w:r w:rsidRPr="00AE7239">
        <w:rPr>
          <w:rFonts w:ascii="Times New Roman" w:hAnsi="Times New Roman" w:cs="Times New Roman"/>
          <w:shd w:val="clear" w:color="auto" w:fill="FFFFFF"/>
        </w:rPr>
        <w:t> Ы.Д. Элементы юридического состава налога в Республике Корея и Российской Федерации. </w:t>
      </w:r>
      <w:r w:rsidRPr="00AE7239">
        <w:rPr>
          <w:rFonts w:ascii="Times New Roman" w:hAnsi="Times New Roman" w:cs="Times New Roman"/>
          <w:i/>
          <w:iCs/>
          <w:shd w:val="clear" w:color="auto" w:fill="FFFFFF"/>
        </w:rPr>
        <w:t>Актуальные проблемы российского права</w:t>
      </w:r>
      <w:r w:rsidRPr="00AE7239">
        <w:rPr>
          <w:rFonts w:ascii="Times New Roman" w:hAnsi="Times New Roman" w:cs="Times New Roman"/>
          <w:shd w:val="clear" w:color="auto" w:fill="FFFFFF"/>
        </w:rPr>
        <w:t>. 2018;(5):209-213. </w:t>
      </w:r>
      <w:hyperlink r:id="rId1" w:tgtFrame="_blank" w:history="1">
        <w:r w:rsidRPr="00AE7239">
          <w:rPr>
            <w:rStyle w:val="a4"/>
            <w:rFonts w:ascii="Times New Roman" w:hAnsi="Times New Roman" w:cs="Times New Roman"/>
            <w:color w:val="auto"/>
            <w:shd w:val="clear" w:color="auto" w:fill="FFFFFF"/>
          </w:rPr>
          <w:t>https://doi.org/10.17803/1994-1471.2018.90.5.209-213</w:t>
        </w:r>
      </w:hyperlink>
    </w:p>
  </w:footnote>
  <w:footnote w:id="6">
    <w:p w:rsidR="00884EEC" w:rsidRPr="005A538C" w:rsidRDefault="00884EEC">
      <w:pPr>
        <w:pStyle w:val="a7"/>
        <w:rPr>
          <w:rFonts w:ascii="Times New Roman" w:hAnsi="Times New Roman" w:cs="Times New Roman"/>
        </w:rPr>
      </w:pPr>
      <w:r w:rsidRPr="005A538C">
        <w:rPr>
          <w:rStyle w:val="a9"/>
          <w:rFonts w:ascii="Times New Roman" w:hAnsi="Times New Roman" w:cs="Times New Roman"/>
        </w:rPr>
        <w:footnoteRef/>
      </w:r>
      <w:r w:rsidRPr="005A538C">
        <w:rPr>
          <w:rFonts w:ascii="Times New Roman" w:hAnsi="Times New Roman" w:cs="Times New Roman"/>
        </w:rPr>
        <w:t xml:space="preserve"> </w:t>
      </w:r>
      <w:r w:rsidRPr="005A538C">
        <w:rPr>
          <w:rFonts w:ascii="Times New Roman" w:hAnsi="Times New Roman" w:cs="Times New Roman"/>
          <w:lang w:val="en-US"/>
        </w:rPr>
        <w:t>National</w:t>
      </w:r>
      <w:r w:rsidRPr="005A538C">
        <w:rPr>
          <w:rFonts w:ascii="Times New Roman" w:hAnsi="Times New Roman" w:cs="Times New Roman"/>
        </w:rPr>
        <w:t xml:space="preserve"> </w:t>
      </w:r>
      <w:r w:rsidRPr="005A538C">
        <w:rPr>
          <w:rFonts w:ascii="Times New Roman" w:hAnsi="Times New Roman" w:cs="Times New Roman"/>
          <w:lang w:val="en-US"/>
        </w:rPr>
        <w:t>Tax</w:t>
      </w:r>
      <w:r w:rsidRPr="005A538C">
        <w:rPr>
          <w:rFonts w:ascii="Times New Roman" w:hAnsi="Times New Roman" w:cs="Times New Roman"/>
        </w:rPr>
        <w:t xml:space="preserve"> </w:t>
      </w:r>
      <w:r w:rsidRPr="005A538C">
        <w:rPr>
          <w:rFonts w:ascii="Times New Roman" w:hAnsi="Times New Roman" w:cs="Times New Roman"/>
          <w:lang w:val="en-US"/>
        </w:rPr>
        <w:t>Basic</w:t>
      </w:r>
      <w:r w:rsidRPr="005A538C">
        <w:rPr>
          <w:rFonts w:ascii="Times New Roman" w:hAnsi="Times New Roman" w:cs="Times New Roman"/>
        </w:rPr>
        <w:t xml:space="preserve"> </w:t>
      </w:r>
      <w:r w:rsidRPr="005A538C">
        <w:rPr>
          <w:rFonts w:ascii="Times New Roman" w:hAnsi="Times New Roman" w:cs="Times New Roman"/>
          <w:lang w:val="en-US"/>
        </w:rPr>
        <w:t>Law</w:t>
      </w:r>
      <w:r w:rsidRPr="005A538C">
        <w:rPr>
          <w:rFonts w:ascii="Times New Roman" w:hAnsi="Times New Roman" w:cs="Times New Roman"/>
        </w:rPr>
        <w:t xml:space="preserve"> (</w:t>
      </w:r>
      <w:r w:rsidRPr="005A538C">
        <w:rPr>
          <w:rFonts w:ascii="Times New Roman" w:hAnsi="Times New Roman" w:cs="Times New Roman"/>
          <w:lang w:val="en-US"/>
        </w:rPr>
        <w:t>Republic</w:t>
      </w:r>
      <w:r w:rsidRPr="005A538C">
        <w:rPr>
          <w:rFonts w:ascii="Times New Roman" w:hAnsi="Times New Roman" w:cs="Times New Roman"/>
        </w:rPr>
        <w:t xml:space="preserve"> </w:t>
      </w:r>
      <w:r w:rsidRPr="005A538C">
        <w:rPr>
          <w:rFonts w:ascii="Times New Roman" w:hAnsi="Times New Roman" w:cs="Times New Roman"/>
          <w:lang w:val="en-US"/>
        </w:rPr>
        <w:t>of</w:t>
      </w:r>
      <w:r w:rsidRPr="005A538C">
        <w:rPr>
          <w:rFonts w:ascii="Times New Roman" w:hAnsi="Times New Roman" w:cs="Times New Roman"/>
        </w:rPr>
        <w:t xml:space="preserve"> </w:t>
      </w:r>
      <w:r w:rsidRPr="005A538C">
        <w:rPr>
          <w:rFonts w:ascii="Times New Roman" w:hAnsi="Times New Roman" w:cs="Times New Roman"/>
          <w:lang w:val="en-US"/>
        </w:rPr>
        <w:t>Korea</w:t>
      </w:r>
      <w:r w:rsidRPr="005A538C">
        <w:rPr>
          <w:rFonts w:ascii="Times New Roman" w:hAnsi="Times New Roman" w:cs="Times New Roman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249D"/>
    <w:multiLevelType w:val="multilevel"/>
    <w:tmpl w:val="BAF61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86605"/>
    <w:multiLevelType w:val="multilevel"/>
    <w:tmpl w:val="2C24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92206E"/>
    <w:multiLevelType w:val="multilevel"/>
    <w:tmpl w:val="BB66D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C16E9D"/>
    <w:multiLevelType w:val="multilevel"/>
    <w:tmpl w:val="A3EAD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2335A5"/>
    <w:multiLevelType w:val="multilevel"/>
    <w:tmpl w:val="96EA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797642"/>
    <w:multiLevelType w:val="hybridMultilevel"/>
    <w:tmpl w:val="05FE5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07CFC"/>
    <w:multiLevelType w:val="multilevel"/>
    <w:tmpl w:val="62FCC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156A54"/>
    <w:multiLevelType w:val="multilevel"/>
    <w:tmpl w:val="E18686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EE3F8F"/>
    <w:multiLevelType w:val="multilevel"/>
    <w:tmpl w:val="2C8C6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1E59AC"/>
    <w:multiLevelType w:val="multilevel"/>
    <w:tmpl w:val="BCCC7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016F18"/>
    <w:multiLevelType w:val="multilevel"/>
    <w:tmpl w:val="8D94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203"/>
    <w:rsid w:val="000635FC"/>
    <w:rsid w:val="000F4203"/>
    <w:rsid w:val="002257BF"/>
    <w:rsid w:val="00250F2D"/>
    <w:rsid w:val="002C0E96"/>
    <w:rsid w:val="00326C98"/>
    <w:rsid w:val="004D78C7"/>
    <w:rsid w:val="005A538C"/>
    <w:rsid w:val="005E4111"/>
    <w:rsid w:val="006D1010"/>
    <w:rsid w:val="00737172"/>
    <w:rsid w:val="007A3889"/>
    <w:rsid w:val="007F5B95"/>
    <w:rsid w:val="00884EEC"/>
    <w:rsid w:val="00A71490"/>
    <w:rsid w:val="00AE7239"/>
    <w:rsid w:val="00B024CC"/>
    <w:rsid w:val="00B13760"/>
    <w:rsid w:val="00C044E8"/>
    <w:rsid w:val="00CF2FF2"/>
    <w:rsid w:val="00D40049"/>
    <w:rsid w:val="00E253EA"/>
    <w:rsid w:val="00F2602A"/>
    <w:rsid w:val="00FD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72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D78C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F5B95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CF2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CF2FF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F2FF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F2FF2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CF2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2FF2"/>
  </w:style>
  <w:style w:type="paragraph" w:styleId="ac">
    <w:name w:val="footer"/>
    <w:basedOn w:val="a"/>
    <w:link w:val="ad"/>
    <w:uiPriority w:val="99"/>
    <w:unhideWhenUsed/>
    <w:rsid w:val="00CF2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F2FF2"/>
  </w:style>
  <w:style w:type="character" w:customStyle="1" w:styleId="mord">
    <w:name w:val="mord"/>
    <w:basedOn w:val="a0"/>
    <w:rsid w:val="00CF2FF2"/>
  </w:style>
  <w:style w:type="paragraph" w:styleId="ae">
    <w:name w:val="List Paragraph"/>
    <w:basedOn w:val="a"/>
    <w:uiPriority w:val="34"/>
    <w:qFormat/>
    <w:rsid w:val="00326C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72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s-markdown-paragraph">
    <w:name w:val="ds-markdown-paragraph"/>
    <w:basedOn w:val="a"/>
    <w:rsid w:val="005A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5A538C"/>
    <w:rPr>
      <w:b/>
      <w:bCs/>
    </w:rPr>
  </w:style>
  <w:style w:type="character" w:styleId="af0">
    <w:name w:val="Emphasis"/>
    <w:basedOn w:val="a0"/>
    <w:uiPriority w:val="20"/>
    <w:qFormat/>
    <w:rsid w:val="005A538C"/>
    <w:rPr>
      <w:i/>
      <w:iCs/>
    </w:rPr>
  </w:style>
  <w:style w:type="paragraph" w:customStyle="1" w:styleId="docdata">
    <w:name w:val="docdata"/>
    <w:aliases w:val="docy,v5,2028,bqiaagaaeyqcaaagiaiaaantbwaabwehaaaaaaaaaaaaaaaaaaaaaaaaaaaaaaaaaaaaaaaaaaaaaaaaaaaaaaaaaaaaaaaaaaaaaaaaaaaaaaaaaaaaaaaaaaaaaaaaaaaaaaaaaaaaaaaaaaaaaaaaaaaaaaaaaaaaaaaaaaaaaaaaaaaaaaaaaaaaaaaaaaaaaaaaaaaaaaaaaaaaaaaaaaaaaaaaaaaaaaaa"/>
    <w:basedOn w:val="a"/>
    <w:rsid w:val="00E25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E72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D78C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F5B95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CF2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CF2FF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F2FF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F2FF2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CF2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2FF2"/>
  </w:style>
  <w:style w:type="paragraph" w:styleId="ac">
    <w:name w:val="footer"/>
    <w:basedOn w:val="a"/>
    <w:link w:val="ad"/>
    <w:uiPriority w:val="99"/>
    <w:unhideWhenUsed/>
    <w:rsid w:val="00CF2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F2FF2"/>
  </w:style>
  <w:style w:type="character" w:customStyle="1" w:styleId="mord">
    <w:name w:val="mord"/>
    <w:basedOn w:val="a0"/>
    <w:rsid w:val="00CF2FF2"/>
  </w:style>
  <w:style w:type="paragraph" w:styleId="ae">
    <w:name w:val="List Paragraph"/>
    <w:basedOn w:val="a"/>
    <w:uiPriority w:val="34"/>
    <w:qFormat/>
    <w:rsid w:val="00326C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72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s-markdown-paragraph">
    <w:name w:val="ds-markdown-paragraph"/>
    <w:basedOn w:val="a"/>
    <w:rsid w:val="005A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5A538C"/>
    <w:rPr>
      <w:b/>
      <w:bCs/>
    </w:rPr>
  </w:style>
  <w:style w:type="character" w:styleId="af0">
    <w:name w:val="Emphasis"/>
    <w:basedOn w:val="a0"/>
    <w:uiPriority w:val="20"/>
    <w:qFormat/>
    <w:rsid w:val="005A538C"/>
    <w:rPr>
      <w:i/>
      <w:iCs/>
    </w:rPr>
  </w:style>
  <w:style w:type="paragraph" w:customStyle="1" w:styleId="docdata">
    <w:name w:val="docdata"/>
    <w:aliases w:val="docy,v5,2028,bqiaagaaeyqcaaagiaiaaantbwaabwehaaaaaaaaaaaaaaaaaaaaaaaaaaaaaaaaaaaaaaaaaaaaaaaaaaaaaaaaaaaaaaaaaaaaaaaaaaaaaaaaaaaaaaaaaaaaaaaaaaaaaaaaaaaaaaaaaaaaaaaaaaaaaaaaaaaaaaaaaaaaaaaaaaaaaaaaaaaaaaaaaaaaaaaaaaaaaaaaaaaaaaaaaaaaaaaaaaaaaaaa"/>
    <w:basedOn w:val="a"/>
    <w:rsid w:val="00E25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yberleninka.ru/article/n/analiz-nalogovyh-sistem-yuzhnoy-korei-i-rossii-dlya-vybora-bolee-optimalnogo-mesta-vedeniya-predprinimatelskoy-deyatelnosti" TargetMode="External"/><Relationship Id="rId18" Type="http://schemas.openxmlformats.org/officeDocument/2006/relationships/hyperlink" Target="https://www.law.go.kr/engLsSc.do?tabMenuId=1&amp;query=value%20added%20ta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doi.org/10.17803/1994-1471.2018.90.5.209-213" TargetMode="External"/><Relationship Id="rId17" Type="http://schemas.openxmlformats.org/officeDocument/2006/relationships/hyperlink" Target="https://www.oecd.org/tax/tax-policy/corporate-tax-statistics-database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ts.go.kr/eng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alog.gov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law.go.kr/LSW/eng/engLsSc.do" TargetMode="External"/><Relationship Id="rId10" Type="http://schemas.openxmlformats.org/officeDocument/2006/relationships/hyperlink" Target="https://www.consultant.ru/document/cons_doc_LAW_28165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yberleninka.ru/article/n/sravnitelnyy-analiz-nalogovyh-sistem-rossii-kanady-shveytsarii-i-yuzhnoy-korei/viewer" TargetMode="External"/><Relationship Id="rId14" Type="http://schemas.openxmlformats.org/officeDocument/2006/relationships/hyperlink" Target="https://www.law.go.kr/engLsSc.do?tabMenuId=1&amp;query=corporate%20tax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7803/1994-1471.2018.90.5.209-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EF944-7050-41D7-BDCE-2793FAFE1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3301</TotalTime>
  <Pages>11</Pages>
  <Words>2876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2025-11-29T06:52:00Z</dcterms:created>
  <dcterms:modified xsi:type="dcterms:W3CDTF">2025-12-16T11:04:00Z</dcterms:modified>
</cp:coreProperties>
</file>