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Урок-аукцион как метод формирования предпринимательской компетенции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Осьмакова Любовь Викторовна</w:t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Преподаватель </w:t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ОГАПОУ «БМТК»</w:t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ind w:firstLine="709"/>
        <w:jc w:val="right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г. Белгород</w:t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Предпринимательство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для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миллиона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гра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ждан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нашей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страны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является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видом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деятельнос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ти</w:t>
      </w:r>
      <w:r>
        <w:rPr>
          <w:rFonts w:ascii="Times New Roman" w:hAnsi="Times New Roman" w:eastAsia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самозанятости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или</w:t>
      </w:r>
      <w:r>
        <w:rPr>
          <w:rFonts w:ascii="Times New Roman" w:hAnsi="Times New Roman" w:eastAsia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способом</w:t>
      </w:r>
      <w:r>
        <w:rPr>
          <w:rFonts w:ascii="Times New Roman" w:hAnsi="Times New Roman" w:eastAsia="Times New Roman" w:cs="Times New Roman"/>
          <w:spacing w:val="4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реализации</w:t>
      </w:r>
      <w:r>
        <w:rPr>
          <w:rFonts w:ascii="Times New Roman" w:hAnsi="Times New Roman" w:eastAsia="Times New Roman" w:cs="Times New Roman"/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своей</w:t>
      </w:r>
      <w:r>
        <w:rPr>
          <w:rFonts w:ascii="Times New Roman" w:hAnsi="Times New Roman" w:eastAsia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профессии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Предпринимательство</w:t>
      </w:r>
      <w:r>
        <w:rPr>
          <w:rFonts w:ascii="Times New Roman" w:hAnsi="Times New Roman" w:eastAsia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осуществляется</w:t>
      </w:r>
      <w:r>
        <w:rPr>
          <w:rFonts w:ascii="Times New Roman" w:hAnsi="Times New Roman" w:eastAsia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pacing w:val="4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соответствии</w:t>
      </w:r>
      <w:r>
        <w:rPr>
          <w:rFonts w:ascii="Times New Roman" w:hAnsi="Times New Roman" w:eastAsia="Times New Roman" w:cs="Times New Roman"/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законодательством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Российской</w:t>
      </w:r>
      <w:r>
        <w:rPr>
          <w:rFonts w:ascii="Times New Roman" w:hAnsi="Times New Roman" w:eastAsia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 предпринимателями у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плачиваются 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налоги, производятся отчисления</w:t>
      </w:r>
      <w:r>
        <w:rPr>
          <w:rFonts w:ascii="Times New Roman" w:hAnsi="Times New Roman" w:eastAsia="Times New Roman" w:cs="Times New Roman"/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пенсионный</w:t>
      </w:r>
      <w:r>
        <w:rPr>
          <w:rFonts w:ascii="Times New Roman" w:hAnsi="Times New Roman" w:eastAsia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фонд,</w:t>
      </w:r>
      <w:r>
        <w:rPr>
          <w:rFonts w:ascii="Times New Roman" w:hAnsi="Times New Roman" w:eastAsia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взносы</w:t>
      </w:r>
      <w:r>
        <w:rPr>
          <w:rFonts w:ascii="Times New Roman" w:hAnsi="Times New Roman" w:eastAsia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ФОМС,</w:t>
      </w:r>
      <w:r>
        <w:rPr>
          <w:rFonts w:ascii="Times New Roman" w:hAnsi="Times New Roman" w:eastAsia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сдаются</w:t>
      </w:r>
      <w:r>
        <w:rPr>
          <w:rFonts w:ascii="Times New Roman" w:hAnsi="Times New Roman" w:eastAsia="Times New Roman" w:cs="Times New Roman"/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отчеты в налоговые органы,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им засчитывается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трудовой</w:t>
      </w:r>
      <w:r>
        <w:rPr>
          <w:rFonts w:ascii="Times New Roman" w:hAnsi="Times New Roman" w:eastAsia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стаж.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Это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говорит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том,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что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данный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вид</w:t>
      </w:r>
      <w:r>
        <w:rPr>
          <w:rFonts w:ascii="Times New Roman" w:hAnsi="Times New Roman" w:eastAsia="Times New Roman" w:cs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ятельности признан государством, а требования</w:t>
      </w:r>
      <w:r>
        <w:rPr>
          <w:rFonts w:ascii="Times New Roman" w:hAnsi="Times New Roman" w:eastAsia="Times New Roman" w:cs="Times New Roman"/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структуре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подготовки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специалиста,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знаниям,</w:t>
      </w:r>
      <w:r>
        <w:rPr>
          <w:rFonts w:ascii="Times New Roman" w:hAnsi="Times New Roman" w:eastAsia="Times New Roman" w:cs="Times New Roman"/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умениям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навыкам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не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разработаны.</w:t>
      </w:r>
      <w:r>
        <w:rPr>
          <w:rFonts w:ascii="Times New Roman" w:hAnsi="Times New Roman" w:eastAsia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Соответственно,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этот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вид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деятельности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</w:t>
      </w:r>
      <w:r>
        <w:rPr>
          <w:rFonts w:ascii="Times New Roman" w:hAnsi="Times New Roman" w:eastAsia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имеет</w:t>
      </w:r>
      <w:r>
        <w:rPr>
          <w:rFonts w:ascii="Times New Roman" w:hAnsi="Times New Roman" w:eastAsia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государ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ственного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стандарта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подготовку</w:t>
      </w:r>
      <w:r>
        <w:rPr>
          <w:rFonts w:ascii="Times New Roman" w:hAnsi="Times New Roman" w:eastAsia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специалис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тов.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Исследование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Global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Entrepreneurship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Monitor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hyperlink r:id="rId9" w:tooltip="https://www.gemconsortium.org/file/open?fileId=50691" w:history="1">
        <w:r>
          <w:rPr>
            <w:rFonts w:ascii="Times New Roman" w:hAnsi="Times New Roman" w:eastAsia="Times New Roman" w:cs="Times New Roman"/>
            <w:sz w:val="28"/>
            <w:szCs w:val="28"/>
            <w:lang w:eastAsia="ru-RU"/>
          </w:rPr>
          <w:t xml:space="preserve">показало</w:t>
        </w:r>
      </w:hyperlink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что по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всем параметрам, связанным 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предпринимательской средой (государственная поддержка, доступная инфраструктура, предпринимательское образование, наличие растущих рынков и так далее), Россия 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дотягивает до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общемировых показателей. Так, наша страна находится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25-м месте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рейтинге из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45 анализируемых стран по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предпринимательскому образованию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ОУ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бизнес-программам вне школы (сюда входит вузовское 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дополнительное образование)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36-м месте.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бразовательные </w:t>
      </w:r>
      <w:r>
        <w:rPr>
          <w:rFonts w:ascii="Times New Roman" w:hAnsi="Times New Roman" w:cs="Times New Roman"/>
          <w:sz w:val="28"/>
          <w:szCs w:val="28"/>
        </w:rPr>
        <w:t xml:space="preserve">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могут</w:t>
      </w:r>
      <w:r>
        <w:rPr>
          <w:rFonts w:ascii="Times New Roman" w:hAnsi="Times New Roman" w:cs="Times New Roman"/>
          <w:sz w:val="28"/>
          <w:szCs w:val="28"/>
        </w:rPr>
        <w:t xml:space="preserve"> здесь 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грать заметную роль,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чтобы дать большему числу студентов возможность реализоваться в бизнесе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Для того чтобы молодежь могла заниматься предпринимательской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деятельностью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она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должна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быть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подготовлена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этой</w:t>
      </w:r>
      <w:r>
        <w:rPr>
          <w:rFonts w:ascii="Times New Roman" w:hAnsi="Times New Roman" w:eastAsia="Times New Roman" w:cs="Times New Roman"/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деятельности.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Существенное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значение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имеет</w:t>
      </w:r>
      <w:r>
        <w:rPr>
          <w:rFonts w:ascii="Times New Roman" w:hAnsi="Times New Roman" w:eastAsia="Times New Roman" w:cs="Times New Roman"/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приближенное к жизни, основанное на знании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экономических реалий и на опыте самостоятельной практической деятельности предпринимательское образование молодых людей как</w:t>
      </w:r>
      <w:r>
        <w:rPr>
          <w:rFonts w:ascii="Times New Roman" w:hAnsi="Times New Roman" w:eastAsia="Times New Roman" w:cs="Times New Roman"/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средство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формирования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человеческого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капитала,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инструмент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адаптации</w:t>
      </w:r>
      <w:r>
        <w:rPr>
          <w:rFonts w:ascii="Times New Roman" w:hAnsi="Times New Roman" w:eastAsia="Times New Roman" w:cs="Times New Roman"/>
          <w:spacing w:val="-5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молодого человека к социально-экономическим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изменениям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Сегодня 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бразовательная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организация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должна выпускать высококвалифицированных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специалистов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достаточным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набором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сформированных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компетенций.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Под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достаточным</w:t>
      </w:r>
      <w:r>
        <w:rPr>
          <w:rFonts w:ascii="Times New Roman" w:hAnsi="Times New Roman" w:eastAsia="Times New Roman" w:cs="Times New Roman"/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набором мы понимаем не только общие и про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фессиональные компетенции, сформированные</w:t>
      </w:r>
      <w:r>
        <w:rPr>
          <w:rFonts w:ascii="Times New Roman" w:hAnsi="Times New Roman" w:eastAsia="Times New Roman" w:cs="Times New Roman"/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направлении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отраслевой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подготовки,</w:t>
      </w:r>
      <w:r>
        <w:rPr>
          <w:rFonts w:ascii="Times New Roman" w:hAnsi="Times New Roman" w:eastAsia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но</w:t>
      </w:r>
      <w:r>
        <w:rPr>
          <w:rFonts w:ascii="Times New Roman" w:hAnsi="Times New Roman" w:eastAsia="Times New Roman" w:cs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рас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ширяющие их интегративные компетенции в об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ласти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предпринимательства.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Процесс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формирования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компетенций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принимательской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деятельности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таит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себе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опасность того, что будет утеряна его целостность,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которую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мы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понимаем</w:t>
      </w:r>
      <w:r>
        <w:rPr>
          <w:rFonts w:ascii="Times New Roman" w:hAnsi="Times New Roman" w:eastAsia="Times New Roman" w:cs="Times New Roman"/>
          <w:spacing w:val="2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как</w:t>
      </w:r>
      <w:r>
        <w:rPr>
          <w:rFonts w:ascii="Times New Roman" w:hAnsi="Times New Roman" w:eastAsia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интегра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основного базового и дополнительного предпринимательского образования. В связи с этим</w:t>
      </w:r>
      <w:r>
        <w:rPr>
          <w:rFonts w:ascii="Times New Roman" w:hAnsi="Times New Roman" w:eastAsia="Times New Roman" w:cs="Times New Roman"/>
          <w:spacing w:val="-5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необходимо объединить образовательный потенциал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общеобразовательных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дисциплин и дисциплин профессионального цикла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результате чего будут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сформированы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компетенции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предпринимательской деятельности, в основе которых лежат общие и профессиональные компетенции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Работая со студентами в колледже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надо грамотно распорядит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ь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ся потенциалом общеобразовательных предметов. Например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стория дает широчайший спектр примеров успешных предпринимателей в дореволюцио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нной России. Династии Морозовых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Рябушинских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 Елисеевых, Абрикосовых, Путиловых и других дают массу примеров честного ведения дела, оригинальных маркетинговых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ходов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  социально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ответственного поведения бизнеса.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Уроки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права  формируют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базу для дальнейшего  более глубокого восприятия  юридических аспектов предпринимательской деятельности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outlineLvl w:val="1"/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Экономика способствует формированию предпринимательской компетенции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дает понимание законов рынка, азы управления предприятием и бухучета.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Более глубоко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развивают полученные знания и позволяют уже их трансформировать в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предпринимательские компетенции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предметы профессионального цикла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r>
    </w:p>
    <w:p>
      <w:pPr>
        <w:ind w:firstLine="70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Интересной формой проведения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уроков  экономики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 права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, предпринимательской деятельности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являются нетрадиционные уроки, среди которых хотелось бы выделить такую форму как урок- аукцион.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названия понятно, что урок будет проходить в форме типичного аукциона: с </w:t>
      </w:r>
      <w:r>
        <w:rPr>
          <w:rFonts w:ascii="Times New Roman" w:hAnsi="Times New Roman" w:cs="Times New Roman"/>
          <w:sz w:val="28"/>
          <w:szCs w:val="28"/>
        </w:rPr>
        <w:t xml:space="preserve">лотами,  аукционистом</w:t>
      </w:r>
      <w:r>
        <w:rPr>
          <w:rFonts w:ascii="Times New Roman" w:hAnsi="Times New Roman" w:cs="Times New Roman"/>
          <w:sz w:val="28"/>
          <w:szCs w:val="28"/>
        </w:rPr>
        <w:t xml:space="preserve">, повышениями ставок и т.д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Лучше всего его планировать как завершающий и обобщающий урок, когда у учащихся уже накоплена определенная база знаний по данной теме.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Уроки-аукционы помогают достичь сразу нескольких целей методического, педагогического и психологического характера: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осуществить контроль знаний учащихся по данной теме;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обеспечить рабочую, деловую атмосферу;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игровые элементы повышают мотивацию учащихся к изучению предмета;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обеспечивается тесная взаимосвязь учащихся, идет обучение работы в группах, индивидуальной работы;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вовлечены все учащиеся, то есть, возможна реализация дифференцированного метода обучения;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обеспечение эмоциональной сопричастности ученика к собственной деятельности и работе других;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развитие навыков самоанализа;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</w:t>
      </w:r>
      <w:r>
        <w:rPr>
          <w:rFonts w:ascii="Times New Roman" w:hAnsi="Times New Roman" w:cs="Times New Roman"/>
          <w:sz w:val="28"/>
          <w:szCs w:val="28"/>
        </w:rPr>
        <w:tab/>
        <w:t xml:space="preserve">развивается самостоятельное мышление, творческая активность, инициативность.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Уроки-аукционы ценны тем, что </w:t>
      </w:r>
      <w:r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r>
        <w:rPr>
          <w:rFonts w:ascii="Times New Roman" w:hAnsi="Times New Roman" w:cs="Times New Roman"/>
          <w:sz w:val="28"/>
          <w:szCs w:val="28"/>
        </w:rPr>
        <w:t xml:space="preserve">учащиеся должны повторить, обобщить целый пласт знаний по теме до урока, обучающиеся отрабатывают навы</w:t>
      </w:r>
      <w:r>
        <w:rPr>
          <w:rFonts w:ascii="Times New Roman" w:hAnsi="Times New Roman" w:cs="Times New Roman"/>
          <w:sz w:val="28"/>
          <w:szCs w:val="28"/>
        </w:rPr>
        <w:t xml:space="preserve">ки анализа спроса и предложения</w:t>
      </w:r>
      <w:r>
        <w:rPr>
          <w:rFonts w:ascii="Times New Roman" w:hAnsi="Times New Roman" w:cs="Times New Roman"/>
          <w:sz w:val="28"/>
          <w:szCs w:val="28"/>
        </w:rPr>
        <w:t xml:space="preserve">, анализ наиболее </w:t>
      </w:r>
      <w:r>
        <w:rPr>
          <w:rFonts w:ascii="Times New Roman" w:hAnsi="Times New Roman" w:cs="Times New Roman"/>
          <w:sz w:val="28"/>
          <w:szCs w:val="28"/>
        </w:rPr>
        <w:t xml:space="preserve">адекватных  маркетинговых</w:t>
      </w:r>
      <w:r>
        <w:rPr>
          <w:rFonts w:ascii="Times New Roman" w:hAnsi="Times New Roman" w:cs="Times New Roman"/>
          <w:sz w:val="28"/>
          <w:szCs w:val="28"/>
        </w:rPr>
        <w:t xml:space="preserve">  технологий, изучаются статьи гражданского кодекса,</w:t>
      </w:r>
      <w:r>
        <w:rPr>
          <w:rFonts w:ascii="Times New Roman" w:hAnsi="Times New Roman" w:cs="Times New Roman"/>
          <w:sz w:val="28"/>
          <w:szCs w:val="28"/>
        </w:rPr>
        <w:t xml:space="preserve"> касающиеся проведения аукциона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т.е. все это способствует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формированию функциональной грамотности в области финансов</w:t>
      </w:r>
      <w:r>
        <w:rPr>
          <w:rFonts w:ascii="Times New Roman" w:hAnsi="Times New Roman" w:cs="Times New Roman"/>
          <w:sz w:val="28"/>
          <w:szCs w:val="28"/>
        </w:rPr>
        <w:t xml:space="preserve">, предпринимательской компетенции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урока-аукциона: 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Подготовительный этап: обсужда</w:t>
      </w:r>
      <w:r>
        <w:rPr>
          <w:rFonts w:ascii="Times New Roman" w:hAnsi="Times New Roman" w:cs="Times New Roman"/>
          <w:sz w:val="28"/>
          <w:szCs w:val="28"/>
        </w:rPr>
        <w:t xml:space="preserve">ются</w:t>
      </w:r>
      <w:r>
        <w:rPr>
          <w:rFonts w:ascii="Times New Roman" w:hAnsi="Times New Roman" w:cs="Times New Roman"/>
          <w:sz w:val="28"/>
          <w:szCs w:val="28"/>
        </w:rPr>
        <w:t xml:space="preserve"> условия и правила игры. Обучающиеся сами пишут на основе гражданского кодекса правила проведения аукциона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ров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ден</w:t>
      </w:r>
      <w:r>
        <w:rPr>
          <w:rFonts w:ascii="Times New Roman" w:hAnsi="Times New Roman" w:cs="Times New Roman"/>
          <w:sz w:val="28"/>
          <w:szCs w:val="28"/>
        </w:rPr>
        <w:t xml:space="preserve">ие</w:t>
      </w:r>
      <w:r>
        <w:rPr>
          <w:rFonts w:ascii="Times New Roman" w:hAnsi="Times New Roman" w:cs="Times New Roman"/>
          <w:sz w:val="28"/>
          <w:szCs w:val="28"/>
        </w:rPr>
        <w:t xml:space="preserve"> урока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аукциона </w:t>
      </w:r>
      <w:r>
        <w:rPr>
          <w:rFonts w:ascii="Times New Roman" w:hAnsi="Times New Roman" w:cs="Times New Roman"/>
          <w:sz w:val="28"/>
          <w:szCs w:val="28"/>
        </w:rPr>
        <w:t xml:space="preserve">надо</w:t>
      </w:r>
      <w:r>
        <w:rPr>
          <w:rFonts w:ascii="Times New Roman" w:hAnsi="Times New Roman" w:cs="Times New Roman"/>
          <w:sz w:val="28"/>
          <w:szCs w:val="28"/>
        </w:rPr>
        <w:t xml:space="preserve"> анонсировать заранее и в качестве валюты аукциона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>
        <w:rPr>
          <w:rFonts w:ascii="Times New Roman" w:hAnsi="Times New Roman" w:cs="Times New Roman"/>
          <w:sz w:val="28"/>
          <w:szCs w:val="28"/>
        </w:rPr>
        <w:t xml:space="preserve">использовать сумм</w:t>
      </w:r>
      <w:r>
        <w:rPr>
          <w:rFonts w:ascii="Times New Roman" w:hAnsi="Times New Roman" w:cs="Times New Roman"/>
          <w:sz w:val="28"/>
          <w:szCs w:val="28"/>
        </w:rPr>
        <w:t xml:space="preserve">у накопленны</w:t>
      </w:r>
      <w:r>
        <w:rPr>
          <w:rFonts w:ascii="Times New Roman" w:hAnsi="Times New Roman" w:cs="Times New Roman"/>
          <w:sz w:val="28"/>
          <w:szCs w:val="28"/>
        </w:rPr>
        <w:t xml:space="preserve">х оценок за определенный период времени,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послужит дополнительным стимулом для </w:t>
      </w:r>
      <w:r>
        <w:rPr>
          <w:rFonts w:ascii="Times New Roman" w:hAnsi="Times New Roman" w:cs="Times New Roman"/>
          <w:sz w:val="28"/>
          <w:szCs w:val="28"/>
        </w:rPr>
        <w:t xml:space="preserve">обучающихся.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Варианты лотов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Предметом торга на уроке-аукционе могут стать как предметы творчества учащихся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так и задания</w:t>
      </w:r>
      <w:r>
        <w:rPr>
          <w:rFonts w:ascii="Times New Roman" w:hAnsi="Times New Roman" w:cs="Times New Roman"/>
          <w:sz w:val="28"/>
          <w:szCs w:val="28"/>
        </w:rPr>
        <w:t xml:space="preserve">, которые «</w:t>
      </w:r>
      <w:r>
        <w:rPr>
          <w:rFonts w:ascii="Times New Roman" w:hAnsi="Times New Roman" w:cs="Times New Roman"/>
          <w:sz w:val="28"/>
          <w:szCs w:val="28"/>
        </w:rPr>
        <w:t xml:space="preserve">покупаются»  студентами</w:t>
      </w:r>
      <w:r>
        <w:rPr>
          <w:rFonts w:ascii="Times New Roman" w:hAnsi="Times New Roman" w:cs="Times New Roman"/>
          <w:sz w:val="28"/>
          <w:szCs w:val="28"/>
        </w:rPr>
        <w:t xml:space="preserve"> и выполняются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 и за правильно выпол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ное задание </w:t>
      </w:r>
      <w:r>
        <w:rPr>
          <w:rFonts w:ascii="Times New Roman" w:hAnsi="Times New Roman" w:cs="Times New Roman"/>
          <w:sz w:val="28"/>
          <w:szCs w:val="28"/>
        </w:rPr>
        <w:t xml:space="preserve">студенты </w:t>
      </w:r>
      <w:r>
        <w:rPr>
          <w:rFonts w:ascii="Times New Roman" w:hAnsi="Times New Roman" w:cs="Times New Roman"/>
          <w:sz w:val="28"/>
          <w:szCs w:val="28"/>
        </w:rPr>
        <w:t xml:space="preserve">получают отметку. </w:t>
      </w:r>
      <w:r>
        <w:rPr>
          <w:rFonts w:ascii="Times New Roman" w:hAnsi="Times New Roman" w:cs="Times New Roman"/>
          <w:sz w:val="28"/>
          <w:szCs w:val="28"/>
        </w:rPr>
        <w:t xml:space="preserve">В этом случае ж</w:t>
      </w:r>
      <w:r>
        <w:rPr>
          <w:rFonts w:ascii="Times New Roman" w:hAnsi="Times New Roman" w:cs="Times New Roman"/>
          <w:sz w:val="28"/>
          <w:szCs w:val="28"/>
        </w:rPr>
        <w:t xml:space="preserve">елательно дать ученикам список тем, которые будут обсуждаться на уроке, список литературы и возможных ресурсов, где можно найти информацию по данной тематике, приблизительный перечень заданий.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урока-аукциона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Урок-аукцион позволяет использовать максимально возможное количество наглядных изобразительных и звуковых средств. Очень помогает в проведении аукциона интерактивная доска, на которой удобно представлять отдельные задания и вести общий подсчет баллов.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класс можно оформить как зал проведения торгов: за кафедрой, где будет находиться аукционист, установить металлическ</w:t>
      </w:r>
      <w:r>
        <w:rPr>
          <w:rFonts w:ascii="Times New Roman" w:hAnsi="Times New Roman" w:cs="Times New Roman"/>
          <w:sz w:val="28"/>
          <w:szCs w:val="28"/>
        </w:rPr>
        <w:t xml:space="preserve">ий гонг или специальный молоточек. Хорошо, если будет вывешен плакат с правилами проведения аукциона. Кроме того, каждому ученику можно вручить специальное приглашение на аукцион (такие же можно раздать коллегам, если вы решите их пригласить на свой урок).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забывайте о поощрениях. Конечно, главное поощрение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положительная оценка за урок. Но и награды в виде медалей, дипломов или грамот также приветствуются.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Подведение итогов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 xml:space="preserve">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выступает в роли аукциониста, то подсчет баллов лучше поручить "банкиру</w:t>
      </w:r>
      <w:r>
        <w:rPr>
          <w:rFonts w:ascii="Times New Roman" w:hAnsi="Times New Roman" w:cs="Times New Roman"/>
          <w:sz w:val="28"/>
          <w:szCs w:val="28"/>
        </w:rPr>
        <w:t xml:space="preserve">"  и</w:t>
      </w:r>
      <w:r>
        <w:rPr>
          <w:rFonts w:ascii="Times New Roman" w:hAnsi="Times New Roman" w:cs="Times New Roman"/>
          <w:sz w:val="28"/>
          <w:szCs w:val="28"/>
        </w:rPr>
        <w:t xml:space="preserve"> его помощникам. Банкир подсчитывает заработок команд</w:t>
      </w:r>
      <w:r>
        <w:rPr>
          <w:rFonts w:ascii="Times New Roman" w:hAnsi="Times New Roman" w:cs="Times New Roman"/>
          <w:sz w:val="28"/>
          <w:szCs w:val="28"/>
        </w:rPr>
        <w:t xml:space="preserve"> (если командное участие)</w:t>
      </w:r>
      <w:r>
        <w:rPr>
          <w:rFonts w:ascii="Times New Roman" w:hAnsi="Times New Roman" w:cs="Times New Roman"/>
          <w:sz w:val="28"/>
          <w:szCs w:val="28"/>
        </w:rPr>
        <w:t xml:space="preserve">, помощники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отдельно для каждого ученика. Удобнее всего это оформить в виде таблиц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ефлекси</w:t>
      </w:r>
      <w:r>
        <w:rPr>
          <w:rFonts w:ascii="Times New Roman" w:hAnsi="Times New Roman" w:cs="Times New Roman"/>
          <w:sz w:val="28"/>
          <w:szCs w:val="28"/>
        </w:rPr>
        <w:t xml:space="preserve">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бучающиеся оцен</w:t>
      </w:r>
      <w:r>
        <w:rPr>
          <w:rFonts w:ascii="Times New Roman" w:hAnsi="Times New Roman" w:cs="Times New Roman"/>
          <w:sz w:val="28"/>
          <w:szCs w:val="28"/>
        </w:rPr>
        <w:t xml:space="preserve">ивают</w:t>
      </w:r>
      <w:r>
        <w:rPr>
          <w:rFonts w:ascii="Times New Roman" w:hAnsi="Times New Roman" w:cs="Times New Roman"/>
          <w:sz w:val="28"/>
          <w:szCs w:val="28"/>
        </w:rPr>
        <w:t xml:space="preserve"> свои действия при подготовке аукциона, </w:t>
      </w:r>
      <w:r>
        <w:rPr>
          <w:rFonts w:ascii="Times New Roman" w:hAnsi="Times New Roman" w:cs="Times New Roman"/>
          <w:sz w:val="28"/>
          <w:szCs w:val="28"/>
        </w:rPr>
        <w:t xml:space="preserve">под проведения самого урока и резюмируют, какие навыки приобрели и усовершенствовали в ходе урока.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источников: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47"/>
        <w:numPr>
          <w:ilvl w:val="0"/>
          <w:numId w:val="10"/>
        </w:num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Pedsovet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su</w:t>
      </w:r>
      <w:r>
        <w:rPr>
          <w:rFonts w:ascii="Times New Roman" w:hAnsi="Times New Roman" w:cs="Times New Roman"/>
          <w:sz w:val="28"/>
          <w:szCs w:val="28"/>
        </w:rPr>
        <w:t xml:space="preserve">/ сайт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URL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ooltip="https://pedsovet.su/uroki/5844_urok_aukcion" w:history="1">
        <w:r>
          <w:rPr>
            <w:rStyle w:val="653"/>
            <w:rFonts w:ascii="Times New Roman" w:hAnsi="Times New Roman" w:cs="Times New Roman"/>
            <w:color w:val="auto"/>
            <w:sz w:val="28"/>
            <w:szCs w:val="28"/>
          </w:rPr>
          <w:t xml:space="preserve">https://pedsovet.su/uroki/5844_urok_aukcion</w:t>
        </w:r>
      </w:hyperlink>
      <w:r>
        <w:rPr>
          <w:rStyle w:val="653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дата обращения: 07.12.2021)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3300"/>
        <w:jc w:val="right"/>
        <w:spacing w:after="0" w:line="223" w:lineRule="auto"/>
        <w:widowControl w:val="off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</w:r>
      <w:r>
        <w:rPr>
          <w:rFonts w:ascii="Times New Roman" w:hAnsi="Times New Roman" w:eastAsia="Times New Roman" w:cs="Times New Roman"/>
          <w:i/>
          <w:sz w:val="28"/>
          <w:szCs w:val="28"/>
        </w:rPr>
      </w:r>
    </w:p>
    <w:p>
      <w:pPr>
        <w:spacing w:after="0" w:line="274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/>
      <w:bookmarkStart w:id="0" w:name="_GoBack"/>
      <w:r/>
      <w:bookmarkEnd w:id="0"/>
      <w:r/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1133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" w:hanging="239"/>
      </w:pPr>
      <w:rPr>
        <w:rFonts w:hint="default" w:ascii="Times New Roman" w:hAnsi="Times New Roman" w:eastAsia="Times New Roman" w:cs="Times New Roman"/>
        <w:color w:val="231f20"/>
        <w:sz w:val="20"/>
        <w:szCs w:val="20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822" w:hanging="239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585" w:hanging="239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348" w:hanging="239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11" w:hanging="239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874" w:hanging="239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636" w:hanging="239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399" w:hanging="239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6162" w:hanging="239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" w:hanging="229"/>
      </w:pPr>
      <w:rPr>
        <w:rFonts w:hint="default" w:ascii="Times New Roman" w:hAnsi="Times New Roman" w:eastAsia="Times New Roman" w:cs="Times New Roman"/>
        <w:color w:val="231f20"/>
        <w:sz w:val="20"/>
        <w:szCs w:val="20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822" w:hanging="229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585" w:hanging="229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348" w:hanging="229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11" w:hanging="229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874" w:hanging="229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636" w:hanging="229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399" w:hanging="229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6162" w:hanging="229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" w:hanging="207"/>
      </w:pPr>
      <w:rPr>
        <w:rFonts w:hint="default" w:ascii="Times New Roman" w:hAnsi="Times New Roman" w:eastAsia="Times New Roman" w:cs="Times New Roman"/>
        <w:color w:val="231f20"/>
        <w:sz w:val="20"/>
        <w:szCs w:val="20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822" w:hanging="207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585" w:hanging="207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348" w:hanging="207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111" w:hanging="207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3874" w:hanging="207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4636" w:hanging="207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5399" w:hanging="207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6162" w:hanging="207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11"/>
  </w:num>
  <w:num w:numId="10">
    <w:abstractNumId w:val="0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1"/>
    <w:next w:val="64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1"/>
    <w:next w:val="64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1"/>
    <w:next w:val="64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1"/>
    <w:next w:val="64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1"/>
    <w:next w:val="64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1"/>
    <w:next w:val="64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1"/>
    <w:next w:val="64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1"/>
    <w:next w:val="64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1"/>
    <w:next w:val="64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1"/>
    <w:next w:val="64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2"/>
    <w:link w:val="34"/>
    <w:uiPriority w:val="10"/>
    <w:rPr>
      <w:sz w:val="48"/>
      <w:szCs w:val="48"/>
    </w:rPr>
  </w:style>
  <w:style w:type="paragraph" w:styleId="36">
    <w:name w:val="Subtitle"/>
    <w:basedOn w:val="641"/>
    <w:next w:val="64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2"/>
    <w:link w:val="36"/>
    <w:uiPriority w:val="11"/>
    <w:rPr>
      <w:sz w:val="24"/>
      <w:szCs w:val="24"/>
    </w:rPr>
  </w:style>
  <w:style w:type="paragraph" w:styleId="38">
    <w:name w:val="Quote"/>
    <w:basedOn w:val="641"/>
    <w:next w:val="64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1"/>
    <w:next w:val="64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2"/>
    <w:link w:val="42"/>
    <w:uiPriority w:val="99"/>
  </w:style>
  <w:style w:type="paragraph" w:styleId="44">
    <w:name w:val="Footer"/>
    <w:basedOn w:val="64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2"/>
    <w:link w:val="44"/>
    <w:uiPriority w:val="99"/>
  </w:style>
  <w:style w:type="paragraph" w:styleId="46">
    <w:name w:val="Caption"/>
    <w:basedOn w:val="641"/>
    <w:next w:val="64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42"/>
    <w:link w:val="46"/>
    <w:uiPriority w:val="35"/>
    <w:rPr>
      <w:b/>
      <w:bCs/>
      <w:color w:val="4f81bd" w:themeColor="accent1"/>
      <w:sz w:val="18"/>
      <w:szCs w:val="18"/>
    </w:rPr>
  </w:style>
  <w:style w:type="table" w:styleId="49">
    <w:name w:val="Table Grid Light"/>
    <w:basedOn w:val="6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4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2"/>
    <w:uiPriority w:val="99"/>
    <w:unhideWhenUsed/>
    <w:rPr>
      <w:vertAlign w:val="superscript"/>
    </w:rPr>
  </w:style>
  <w:style w:type="paragraph" w:styleId="178">
    <w:name w:val="endnote text"/>
    <w:basedOn w:val="64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2"/>
    <w:uiPriority w:val="99"/>
    <w:semiHidden/>
    <w:unhideWhenUsed/>
    <w:rPr>
      <w:vertAlign w:val="superscript"/>
    </w:rPr>
  </w:style>
  <w:style w:type="paragraph" w:styleId="181">
    <w:name w:val="toc 1"/>
    <w:basedOn w:val="641"/>
    <w:next w:val="64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1"/>
    <w:next w:val="64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1"/>
    <w:next w:val="64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1"/>
    <w:next w:val="641"/>
    <w:uiPriority w:val="99"/>
    <w:unhideWhenUsed/>
    <w:pPr>
      <w:spacing w:after="0" w:afterAutospacing="0"/>
    </w:pPr>
  </w:style>
  <w:style w:type="paragraph" w:styleId="641" w:default="1">
    <w:name w:val="Normal"/>
    <w:qFormat/>
  </w:style>
  <w:style w:type="character" w:styleId="642" w:default="1">
    <w:name w:val="Default Paragraph Font"/>
    <w:uiPriority w:val="1"/>
    <w:semiHidden/>
    <w:unhideWhenUsed/>
  </w:style>
  <w:style w:type="table" w:styleId="6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4" w:default="1">
    <w:name w:val="No List"/>
    <w:uiPriority w:val="99"/>
    <w:semiHidden/>
    <w:unhideWhenUsed/>
  </w:style>
  <w:style w:type="table" w:styleId="645" w:customStyle="1">
    <w:name w:val="Table Normal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46" w:customStyle="1">
    <w:name w:val="Table Normal1"/>
    <w:uiPriority w:val="2"/>
    <w:semiHidden/>
    <w:unhideWhenUsed/>
    <w:qFormat/>
    <w:pPr>
      <w:spacing w:after="0" w:line="240" w:lineRule="auto"/>
      <w:widowControl w:val="off"/>
    </w:pPr>
    <w:rPr>
      <w:lang w:val="en-US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647">
    <w:name w:val="List Paragraph"/>
    <w:basedOn w:val="641"/>
    <w:uiPriority w:val="34"/>
    <w:qFormat/>
    <w:pPr>
      <w:contextualSpacing/>
      <w:ind w:left="720"/>
    </w:pPr>
  </w:style>
  <w:style w:type="paragraph" w:styleId="648">
    <w:name w:val="Balloon Text"/>
    <w:basedOn w:val="641"/>
    <w:link w:val="64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49" w:customStyle="1">
    <w:name w:val="Текст выноски Знак"/>
    <w:basedOn w:val="642"/>
    <w:link w:val="648"/>
    <w:uiPriority w:val="99"/>
    <w:semiHidden/>
    <w:rPr>
      <w:rFonts w:ascii="Tahoma" w:hAnsi="Tahoma" w:cs="Tahoma"/>
      <w:sz w:val="16"/>
      <w:szCs w:val="16"/>
    </w:rPr>
  </w:style>
  <w:style w:type="table" w:styleId="650">
    <w:name w:val="Table Grid"/>
    <w:basedOn w:val="64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651">
    <w:name w:val="Strong"/>
    <w:basedOn w:val="642"/>
    <w:uiPriority w:val="22"/>
    <w:qFormat/>
    <w:rPr>
      <w:b/>
      <w:bCs/>
    </w:rPr>
  </w:style>
  <w:style w:type="paragraph" w:styleId="652">
    <w:name w:val="Normal (Web)"/>
    <w:basedOn w:val="64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53">
    <w:name w:val="Hyperlink"/>
    <w:basedOn w:val="642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www.gemconsortium.org/file/open?fileId=50691" TargetMode="External"/><Relationship Id="rId10" Type="http://schemas.openxmlformats.org/officeDocument/2006/relationships/hyperlink" Target="https://pedsovet.su/uroki/5844_urok_aukcion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 Осьмакова</cp:lastModifiedBy>
  <cp:revision>3</cp:revision>
  <dcterms:created xsi:type="dcterms:W3CDTF">2023-12-18T10:06:00Z</dcterms:created>
  <dcterms:modified xsi:type="dcterms:W3CDTF">2025-12-17T12:04:01Z</dcterms:modified>
</cp:coreProperties>
</file>