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38DCF">
      <w:pPr>
        <w:spacing w:line="240" w:lineRule="auto"/>
        <w:jc w:val="righ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Комличенко Д.В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41D07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Дальневосточный филиал «Российского государственного университета </w:t>
      </w:r>
    </w:p>
    <w:p w14:paraId="3B552A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</w:rPr>
        <w:t>равосудия имени В.М. Лебедева», г. Хабаровск, Россия.</w:t>
      </w:r>
    </w:p>
    <w:p w14:paraId="13A9657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73176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Столыпинская аграрная реформа: успех или провал?</w:t>
      </w:r>
    </w:p>
    <w:p w14:paraId="47A2BD8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73404A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sz w:val="28"/>
          <w:szCs w:val="28"/>
        </w:rPr>
        <w:t>Статья посвящена всестороннему анализу столыпинской аграрной реформы (1906-1914 гг.) как центрального звена модернизации Российской империи. Исследуя цели, методы и итоги реформы.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Несмотря на экономический рост, обусловленный развитием хуторского хозяйства и освоением новых земель, реформа сопровождалась серьёзными социальными проблемами, политическим противодействием и осталась незавершённой. Таким образом, реформа предстаёт как смелый, но рискованный проект, чьи реальные достижения были перекрыты событиями Первой мировой войны и революции, а внутренние противоречия способствовали обострению кризиса 1917 года.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 w14:paraId="486C4E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Петр Аркадьевич Столыпин, Столыпинская аграрная реформа, хутор, отруб, переселенческая политика, Крестьянский поземельный банк, аграрный вопрос, Российская империя.</w:t>
      </w:r>
    </w:p>
    <w:p w14:paraId="342CB0D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5DEC5A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После первой русской революции, стало понятно, что крестьянство не является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надёжной</w:t>
      </w:r>
      <w:r>
        <w:rPr>
          <w:rFonts w:ascii="Times New Roman" w:hAnsi="Times New Roman" w:cs="Times New Roman"/>
          <w:sz w:val="28"/>
          <w:szCs w:val="28"/>
        </w:rPr>
        <w:t xml:space="preserve"> опорой монархии. Правительством была провозглашена программа реформ, в основе которых лежали стремления укрепить крестьянское общество как основную опору самодержавия, без разрушения помещичьих земель. В истории эта программа получила название Столыпинская аграрная реформа. Её оценка колебалась между популярными трактовками «спасительная программа» или «последний шанс».</w:t>
      </w:r>
    </w:p>
    <w:p w14:paraId="76DBC07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Цели Столыпинской аграрной реформы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62DECE8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Реформа стала ответом на кризис в системе, ярко показавший себя в революции 1905-1907 гг. Её ключевые задачи были сформулированы как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066743A8">
      <w:pPr>
        <w:pStyle w:val="31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Социально-политическая: Создание массового слоя крестьян собственников (кулаки и середняки) как естественной социальной опорой монархического государства.</w:t>
      </w:r>
    </w:p>
    <w:p w14:paraId="76991C4A">
      <w:pPr>
        <w:pStyle w:val="31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Экономическая: Повышение продуктивности сельского хозяйства через ликвидацию чересполосицы, внедрение улучшенных агротехнических методов (многополье, современный инвентарь) и развитие фермерского (хуторского и отрубного) землевладения.</w:t>
      </w:r>
      <w:r>
        <w:rPr>
          <w:rStyle w:val="13"/>
          <w:rFonts w:ascii="Times New Roman" w:hAnsi="Times New Roman" w:cs="Times New Roman"/>
          <w:sz w:val="28"/>
          <w:szCs w:val="28"/>
        </w:rPr>
        <w:footnoteReference w:id="0"/>
      </w:r>
    </w:p>
    <w:p w14:paraId="3EFB7C97">
      <w:pPr>
        <w:pStyle w:val="31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и геополитическая: снятие аграрного перенаселения в центральных губерниях </w:t>
      </w:r>
      <w:r>
        <w:rPr>
          <w:rFonts w:ascii="Times New Roman" w:hAnsi="Times New Roman" w:cs="Times New Roman"/>
          <w:sz w:val="28"/>
          <w:szCs w:val="28"/>
          <w:lang w:val="ru-RU"/>
        </w:rPr>
        <w:t>путём</w:t>
      </w:r>
      <w:r>
        <w:rPr>
          <w:rFonts w:ascii="Times New Roman" w:hAnsi="Times New Roman" w:cs="Times New Roman"/>
          <w:sz w:val="28"/>
          <w:szCs w:val="28"/>
        </w:rPr>
        <w:t xml:space="preserve"> переселения людей в Сибирь и на Дальний восток, параллельно укрепляя Российскую империю в азиатской части страны. </w:t>
      </w:r>
    </w:p>
    <w:p w14:paraId="78C9549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Средства преобразований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законодательство и практическая реализация.</w:t>
      </w:r>
    </w:p>
    <w:p w14:paraId="734FEA5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Правовой основной реформы стал </w:t>
      </w:r>
      <w:r>
        <w:rPr>
          <w:rFonts w:ascii="Times New Roman" w:hAnsi="Times New Roman" w:cs="Times New Roman"/>
          <w:b/>
          <w:bCs/>
          <w:sz w:val="28"/>
          <w:szCs w:val="28"/>
        </w:rPr>
        <w:t>Указ «</w:t>
      </w:r>
      <w:r>
        <w:rPr>
          <w:rFonts w:ascii="Times New Roman" w:hAnsi="Times New Roman" w:cs="Times New Roman"/>
          <w:sz w:val="28"/>
          <w:szCs w:val="28"/>
        </w:rPr>
        <w:t xml:space="preserve">О дополнении некоторых постановлений действующего закона, касающихся крестьянского землевладения и землепользования» 9 ноября 1906 г., позднее </w:t>
      </w:r>
      <w:r>
        <w:rPr>
          <w:rFonts w:ascii="Times New Roman" w:hAnsi="Times New Roman" w:cs="Times New Roman"/>
          <w:sz w:val="28"/>
          <w:szCs w:val="28"/>
          <w:lang w:val="ru-RU"/>
        </w:rPr>
        <w:t>превращённый</w:t>
      </w:r>
      <w:r>
        <w:rPr>
          <w:rFonts w:ascii="Times New Roman" w:hAnsi="Times New Roman" w:cs="Times New Roman"/>
          <w:sz w:val="28"/>
          <w:szCs w:val="28"/>
        </w:rPr>
        <w:t xml:space="preserve"> в закон 14 июня 1910 г. Он разрешал крестьянину выйти из общины, закрепив в личную собственность свой надел, а также потребовать сведения разрозненных полос в единый участок – </w:t>
      </w:r>
      <w:r>
        <w:rPr>
          <w:rFonts w:ascii="Times New Roman" w:hAnsi="Times New Roman" w:cs="Times New Roman"/>
          <w:b/>
          <w:bCs/>
          <w:sz w:val="28"/>
          <w:szCs w:val="28"/>
        </w:rPr>
        <w:t>отруб</w:t>
      </w:r>
      <w:r>
        <w:rPr>
          <w:rFonts w:ascii="Times New Roman" w:hAnsi="Times New Roman" w:cs="Times New Roman"/>
          <w:sz w:val="28"/>
          <w:szCs w:val="28"/>
        </w:rPr>
        <w:t xml:space="preserve">. Идеальным же результатом считалось создание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хутора</w:t>
      </w:r>
      <w:r>
        <w:rPr>
          <w:rFonts w:ascii="Times New Roman" w:hAnsi="Times New Roman" w:cs="Times New Roman"/>
          <w:sz w:val="28"/>
          <w:szCs w:val="28"/>
        </w:rPr>
        <w:t xml:space="preserve"> – обособленной усадьбы с </w:t>
      </w:r>
      <w:r>
        <w:rPr>
          <w:rFonts w:ascii="Times New Roman" w:hAnsi="Times New Roman" w:cs="Times New Roman"/>
          <w:sz w:val="28"/>
          <w:szCs w:val="28"/>
          <w:lang w:val="ru-RU"/>
        </w:rPr>
        <w:t>землёй</w:t>
      </w:r>
      <w:r>
        <w:rPr>
          <w:rFonts w:ascii="Times New Roman" w:hAnsi="Times New Roman" w:cs="Times New Roman"/>
          <w:sz w:val="28"/>
          <w:szCs w:val="28"/>
        </w:rPr>
        <w:t>, вынесенной за пределы деревни.</w:t>
      </w:r>
      <w:r>
        <w:rPr>
          <w:rStyle w:val="13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Для поддержки выделяющийся действовал Крестьянский поземельный банк, кредитовавший покупку земли, в том числе из фонда продаваемых крупных земельных владений дворянства.</w:t>
      </w:r>
    </w:p>
    <w:p w14:paraId="6E95799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Важнейшим дополнением стала переселенческая политика, направленная на снятие аграрного перенаселения в центре страны путём стимулирования переезда крестьян в Сибирь, на Дальний Восток. Государство предоставляло переселенцам льготы, ссуды и земельные наделы.</w:t>
      </w:r>
      <w:r>
        <w:rPr>
          <w:rStyle w:val="13"/>
          <w:rFonts w:ascii="Times New Roman" w:hAnsi="Times New Roman" w:cs="Times New Roman"/>
          <w:sz w:val="28"/>
          <w:szCs w:val="28"/>
        </w:rPr>
        <w:footnoteReference w:id="2"/>
      </w:r>
    </w:p>
    <w:p w14:paraId="6D24C3E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Промежуточные результаты: статистический успех и структурные противоречия.</w:t>
      </w:r>
    </w:p>
    <w:p w14:paraId="649CC64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 периоду 1915-1916 годов был достигнут существенный прогресс, однако количественные показатели демонстрировали неоднозначную картину:</w:t>
      </w:r>
    </w:p>
    <w:p w14:paraId="7606D49B">
      <w:pPr>
        <w:pStyle w:val="3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Около 26% общинных дворов (свыше 2 млн.) заявили о желании выйти из общины, из них полностью оформили собственность около половины. Всего за годы реформы выделилось на хутора и отруба порядка 10-15% крестьянских хозяйств.</w:t>
      </w:r>
      <w:r>
        <w:rPr>
          <w:rStyle w:val="13"/>
          <w:rFonts w:ascii="Times New Roman" w:hAnsi="Times New Roman" w:cs="Times New Roman"/>
          <w:sz w:val="28"/>
          <w:szCs w:val="28"/>
        </w:rPr>
        <w:footnoteReference w:id="3"/>
      </w:r>
    </w:p>
    <w:p w14:paraId="265A52D0">
      <w:pPr>
        <w:pStyle w:val="3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Переселенческая политика привела к перемещению за черту Урала около 3,5 млн. человек, однако 17-18% из (свыше 500 тыс.) вернулись обратно, не сумев прижиться на новом месте.</w:t>
      </w:r>
      <w:r>
        <w:rPr>
          <w:rStyle w:val="13"/>
          <w:rFonts w:ascii="Times New Roman" w:hAnsi="Times New Roman" w:cs="Times New Roman"/>
          <w:sz w:val="28"/>
          <w:szCs w:val="28"/>
        </w:rPr>
        <w:footnoteReference w:id="4"/>
      </w:r>
    </w:p>
    <w:p w14:paraId="183FCE09">
      <w:pPr>
        <w:pStyle w:val="3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 показатели выделившихся хозяйств были выше общинных. По данным В.Г Тюкавкина, урожайность на хуторах и отрубах часто на 10-30% превышала средние показатели по региону, росла товарность, активно внедрялись новые культуры и орудия труда</w:t>
      </w:r>
      <w:r>
        <w:rPr>
          <w:rStyle w:val="13"/>
          <w:rFonts w:ascii="Times New Roman" w:hAnsi="Times New Roman" w:cs="Times New Roman"/>
          <w:sz w:val="28"/>
          <w:szCs w:val="28"/>
        </w:rPr>
        <w:footnoteReference w:id="5"/>
      </w:r>
    </w:p>
    <w:p w14:paraId="01E90DD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Однако за статистикой скрывались глубокие структурные проблемы, например:</w:t>
      </w:r>
    </w:p>
    <w:p w14:paraId="71BB442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Раскол деревни: реформа не консолидировала крестьянство, а наоборот раздробило его. Процесс выдела вызывал </w:t>
      </w:r>
      <w:r>
        <w:rPr>
          <w:rFonts w:ascii="Times New Roman" w:hAnsi="Times New Roman" w:cs="Times New Roman"/>
          <w:sz w:val="28"/>
          <w:szCs w:val="28"/>
          <w:lang w:val="ru-RU"/>
        </w:rPr>
        <w:t>ожесточённое</w:t>
      </w:r>
      <w:r>
        <w:rPr>
          <w:rFonts w:ascii="Times New Roman" w:hAnsi="Times New Roman" w:cs="Times New Roman"/>
          <w:sz w:val="28"/>
          <w:szCs w:val="28"/>
        </w:rPr>
        <w:t xml:space="preserve"> сопротивление общины, приводил к конфликтам и поджогам.</w:t>
      </w:r>
      <w:r>
        <w:rPr>
          <w:rStyle w:val="13"/>
          <w:rFonts w:ascii="Times New Roman" w:hAnsi="Times New Roman" w:cs="Times New Roman"/>
          <w:sz w:val="28"/>
          <w:szCs w:val="28"/>
        </w:rPr>
        <w:footnoteReference w:id="6"/>
      </w:r>
    </w:p>
    <w:p w14:paraId="26E294D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Неразрешенность аграрного вопроса.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Реформа обходила главную проблему – помещичье землевладение. Крестьянство в массе своей продолжало мечтать о «</w:t>
      </w:r>
      <w:r>
        <w:rPr>
          <w:rFonts w:ascii="Times New Roman" w:hAnsi="Times New Roman" w:cs="Times New Roman"/>
          <w:sz w:val="28"/>
          <w:szCs w:val="28"/>
          <w:lang w:val="ru-RU"/>
        </w:rPr>
        <w:t>чёрном</w:t>
      </w:r>
      <w:r>
        <w:rPr>
          <w:rFonts w:ascii="Times New Roman" w:hAnsi="Times New Roman" w:cs="Times New Roman"/>
          <w:sz w:val="28"/>
          <w:szCs w:val="28"/>
        </w:rPr>
        <w:t xml:space="preserve"> переделе» всех земель, что делало итоги реформы социально неустойчивыми.</w:t>
      </w:r>
      <w:r>
        <w:rPr>
          <w:rStyle w:val="13"/>
          <w:rFonts w:ascii="Times New Roman" w:hAnsi="Times New Roman" w:cs="Times New Roman"/>
          <w:sz w:val="28"/>
          <w:szCs w:val="28"/>
        </w:rPr>
        <w:footnoteReference w:id="7"/>
      </w:r>
    </w:p>
    <w:p w14:paraId="6791048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«Ставка на сильных» и её последствия. Как справедливо указывал В.С. Дякин, реформа была рассчитана на зажиточное меньшинство. Беднейшие же крестьяне, выделяясь, часто лишь для того, чтобы продать землю и окончательно порвать с деревней, пополняли ряды пролетариата, усиливая социальную напряжённость в городе </w:t>
      </w:r>
      <w:r>
        <w:rPr>
          <w:rStyle w:val="13"/>
          <w:rFonts w:ascii="Times New Roman" w:hAnsi="Times New Roman" w:cs="Times New Roman"/>
          <w:sz w:val="28"/>
          <w:szCs w:val="28"/>
        </w:rPr>
        <w:footnoteReference w:id="8"/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Итоги и оценка: незавершённая модернизация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Однозначно оценить реформу как успех или провал невозможно. С точки зрения экономической модернизации она была успешным, хотя и незавершённым проектом. Реформа запустила процессы индивидуализации хозяйства, роста его эффективности и освоения новых территорий.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Однако с точки зрения главной, социально-политической цели – создания прочной и массовой опоры для монархии в деревне – реформа потерпела неудачу. Она не только не сплотила крестьянство вокруг власти, но и внесла новый раскол в деревню, обострив старые противоречия. К 1917 г. подавляющее большинство крестьян оставалось в общине, а их ожидания были направлены не на защиту частной собственности, а на радикальный передел всей земли, включая помещичью и выделенческую.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Заключение: таким образом, столыпинская аграрная реформа представляет собой классический пример частично успешной, но системно незавершённой модернизации. Её экономические достижения были значимы, но недостаточны для преодоления глубинного кризиса аграрного строя. Политическая цель – стабилизация режима через преобразование социальной структуры деревни – достигнута не была. Реформа не предотвратила аграрную революцию 1917-1918 гг., а во многом подготовила для неё почву, обострив конфликты внутри крестьянского мира. Её историческая судьба подтвердила, что в России начала XX века решение аграрного вопроса требовало не только технических мер, но и коренного изменения всей системы землевладения и власти, чего Столыпин сделать не мог и не хотел. Потому итог реформы — это трагический парадокс: прогрессивный по методам экономический проект, обернувшийся политическим поражением из-за нежелания и невозможности затронуть фундаментальные основы социального неравенства.</w:t>
      </w:r>
    </w:p>
    <w:p w14:paraId="3D4402C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7E90960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001CFFA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 w14:paraId="4681ACF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9C78F9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74958AC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5503486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056B4F3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6D5551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30DC805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360" w:lineRule="auto"/>
        <w:ind w:firstLine="420" w:firstLineChars="150"/>
        <w:jc w:val="both"/>
        <w:textAlignment w:val="auto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3F53BBD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360" w:lineRule="auto"/>
        <w:ind w:firstLine="420" w:firstLineChars="150"/>
        <w:jc w:val="both"/>
        <w:textAlignment w:val="auto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70B5297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360" w:lineRule="auto"/>
        <w:ind w:firstLine="420" w:firstLineChars="150"/>
        <w:jc w:val="both"/>
        <w:textAlignment w:val="auto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178663E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360" w:lineRule="auto"/>
        <w:ind w:firstLine="420" w:firstLineChars="150"/>
        <w:jc w:val="both"/>
        <w:textAlignment w:val="auto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35B3BF6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360" w:lineRule="auto"/>
        <w:ind w:firstLine="420" w:firstLineChars="150"/>
        <w:jc w:val="both"/>
        <w:textAlignment w:val="auto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6939DB0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360" w:lineRule="auto"/>
        <w:ind w:firstLine="420" w:firstLineChars="150"/>
        <w:jc w:val="both"/>
        <w:textAlignment w:val="auto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5999F98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360" w:lineRule="auto"/>
        <w:ind w:firstLine="420" w:firstLineChars="150"/>
        <w:jc w:val="both"/>
        <w:textAlignment w:val="auto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  <w:t>Список литературы:</w:t>
      </w:r>
    </w:p>
    <w:p w14:paraId="519D4DE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1. Зырянов П.Н. Крестьянская община Европейской России. 1907-1914 гг. – М.: Наука, 1992.</w:t>
      </w:r>
    </w:p>
    <w:p w14:paraId="68EBE72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2. Тюкавкин В.Г. Великорусское крестьянство и столыпинская аграрная реформа. – М.: Памятники исторической мысли, 2001.</w:t>
      </w:r>
    </w:p>
    <w:p w14:paraId="5002C31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3. Дякин В.С. Был ли шанс у Столыпина? // Звезда. – 1990. – № 12.</w:t>
      </w:r>
    </w:p>
    <w:p w14:paraId="4BDF816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4. История России XIX – начала XX века: учебник для исторических факультетов университетов / под ред. В.А. Федорова. – М.: Зерцало, 1998.</w:t>
      </w:r>
    </w:p>
    <w:p w14:paraId="36FDE89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5. История России: учебник / А.С. Орлов, В.А. Георгиев, Н.Г. Георгиева, Т.А. Сивохина. – 4-е изд. – М.: Проспект, 2014.</w:t>
      </w:r>
    </w:p>
    <w:p w14:paraId="378B1D8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4B19009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150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5A74F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9" w:after="20" w:line="360" w:lineRule="auto"/>
        <w:ind w:firstLine="420" w:firstLineChars="150"/>
        <w:jc w:val="both"/>
        <w:textAlignment w:val="auto"/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 w:eastAsiaTheme="minorEastAsia"/>
          <w:b/>
          <w:iCs/>
          <w:color w:val="000000"/>
          <w:sz w:val="28"/>
          <w:szCs w:val="28"/>
          <w:lang w:val="ru-RU" w:eastAsia="ru-RU"/>
        </w:rPr>
        <w:t>Комличенко</w:t>
      </w:r>
      <w:r>
        <w:rPr>
          <w:rFonts w:hint="default" w:ascii="Times New Roman" w:hAnsi="Times New Roman" w:cs="Times New Roman" w:eastAsiaTheme="minorEastAsia"/>
          <w:b/>
          <w:iCs/>
          <w:color w:val="000000"/>
          <w:sz w:val="28"/>
          <w:szCs w:val="28"/>
          <w:lang w:val="en-US" w:eastAsia="ru-RU"/>
        </w:rPr>
        <w:t xml:space="preserve"> Данил Вадимович</w:t>
      </w:r>
      <w:r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  <w:t>– студент Дальневосточного филиала Российского государственного университета, Хабаровск, Россия.</w:t>
      </w:r>
    </w:p>
    <w:p w14:paraId="31586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9" w:after="20" w:line="360" w:lineRule="auto"/>
        <w:ind w:firstLine="420" w:firstLineChars="150"/>
        <w:jc w:val="both"/>
        <w:textAlignment w:val="auto"/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  <w:t xml:space="preserve">Научный руководитель: Бучко Николай Петрович </w:t>
      </w:r>
      <w:r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  <w:t>– заведующий кафедры государственных социально - экономических дисциплин Дальневосточного филиала Российского государственного университета, Хабаровск, Россия.</w:t>
      </w:r>
    </w:p>
    <w:p w14:paraId="17BC3707">
      <w:pPr>
        <w:jc w:val="both"/>
        <w:rPr>
          <w:rFonts w:hint="default" w:ascii="Times New Roman" w:hAnsi="Times New Roman"/>
          <w:sz w:val="28"/>
          <w:szCs w:val="28"/>
        </w:rPr>
      </w:pPr>
    </w:p>
    <w:p w14:paraId="03C1173C">
      <w:pPr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567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DengXian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8">
    <w:p>
      <w:pPr>
        <w:spacing w:before="0" w:after="0" w:line="278" w:lineRule="auto"/>
      </w:pPr>
      <w:r>
        <w:separator/>
      </w:r>
    </w:p>
  </w:footnote>
  <w:footnote w:type="continuationSeparator" w:id="19">
    <w:p>
      <w:pPr>
        <w:spacing w:before="0" w:after="0" w:line="278" w:lineRule="auto"/>
      </w:pPr>
      <w:r>
        <w:continuationSeparator/>
      </w:r>
    </w:p>
  </w:footnote>
  <w:footnote w:id="0">
    <w:p w14:paraId="574F2B4D">
      <w:pPr>
        <w:pStyle w:val="15"/>
        <w:rPr>
          <w:rFonts w:ascii="Times New Roman" w:hAnsi="Times New Roman" w:cs="Times New Roman"/>
          <w:i w:val="0"/>
          <w:iCs w:val="0"/>
        </w:rPr>
      </w:pPr>
      <w:r>
        <w:rPr>
          <w:rStyle w:val="13"/>
          <w:rFonts w:ascii="Times New Roman" w:hAnsi="Times New Roman" w:cs="Times New Roman"/>
          <w:i w:val="0"/>
          <w:iCs w:val="0"/>
        </w:rPr>
        <w:t xml:space="preserve">1 </w:t>
      </w:r>
      <w:r>
        <w:rPr>
          <w:rFonts w:ascii="Times New Roman" w:hAnsi="Times New Roman" w:cs="Times New Roman"/>
          <w:i w:val="0"/>
          <w:iCs w:val="0"/>
        </w:rPr>
        <w:t xml:space="preserve"> Отечественная история: учебник для вузов /под редакцией А.А. Радугина. – М.: Центр, 2005. -С. 234-235.</w:t>
      </w:r>
    </w:p>
  </w:footnote>
  <w:footnote w:id="1">
    <w:p w14:paraId="00128433">
      <w:pPr>
        <w:pStyle w:val="15"/>
        <w:rPr>
          <w:rFonts w:ascii="Times New Roman" w:hAnsi="Times New Roman" w:cs="Times New Roman"/>
          <w:i w:val="0"/>
          <w:iCs w:val="0"/>
        </w:rPr>
      </w:pPr>
      <w:r>
        <w:rPr>
          <w:rStyle w:val="13"/>
          <w:rFonts w:ascii="Times New Roman" w:hAnsi="Times New Roman" w:cs="Times New Roman"/>
          <w:i w:val="0"/>
          <w:iCs w:val="0"/>
        </w:rPr>
        <w:footnoteRef/>
      </w:r>
      <w:r>
        <w:rPr>
          <w:rFonts w:ascii="Times New Roman" w:hAnsi="Times New Roman" w:cs="Times New Roman"/>
          <w:i w:val="0"/>
          <w:iCs w:val="0"/>
        </w:rPr>
        <w:t xml:space="preserve"> Дякин В.С Был ли шанс у Столыпина? // Звезда. – 1990. – №12. – С. 124-125.</w:t>
      </w:r>
    </w:p>
  </w:footnote>
  <w:footnote w:id="2">
    <w:p w14:paraId="5FA90B44">
      <w:pPr>
        <w:pStyle w:val="15"/>
        <w:rPr>
          <w:rFonts w:ascii="Times New Roman" w:hAnsi="Times New Roman" w:cs="Times New Roman"/>
          <w:i w:val="0"/>
          <w:iCs w:val="0"/>
        </w:rPr>
      </w:pPr>
      <w:r>
        <w:rPr>
          <w:rStyle w:val="13"/>
          <w:rFonts w:ascii="Times New Roman" w:hAnsi="Times New Roman" w:cs="Times New Roman"/>
          <w:i w:val="0"/>
          <w:iCs w:val="0"/>
        </w:rPr>
        <w:footnoteRef/>
      </w:r>
      <w:r>
        <w:rPr>
          <w:rFonts w:ascii="Times New Roman" w:hAnsi="Times New Roman" w:cs="Times New Roman"/>
          <w:i w:val="0"/>
          <w:iCs w:val="0"/>
        </w:rPr>
        <w:t xml:space="preserve"> Тюкавкин В.Г. Великорусское крестьянство и столыпинская аграрная реформа. – М.: Памятники исторической мысли, 2001. – С. 145-150.</w:t>
      </w:r>
    </w:p>
  </w:footnote>
  <w:footnote w:id="3">
    <w:p w14:paraId="25668F92">
      <w:pPr>
        <w:pStyle w:val="15"/>
        <w:rPr>
          <w:rFonts w:hint="default" w:ascii="Times New Roman" w:hAnsi="Times New Roman" w:cs="Times New Roman"/>
          <w:i w:val="0"/>
          <w:iCs w:val="0"/>
        </w:rPr>
      </w:pPr>
      <w:r>
        <w:rPr>
          <w:rStyle w:val="13"/>
        </w:rPr>
        <w:footnoteRef/>
      </w:r>
      <w:r>
        <w:rPr>
          <w:rFonts w:hint="default" w:ascii="Times New Roman" w:hAnsi="Times New Roman" w:cs="Times New Roman"/>
          <w:i w:val="0"/>
          <w:iCs w:val="0"/>
        </w:rPr>
        <w:t xml:space="preserve"> Зырянов П.Н Крестьянская община Европейской России. 1907-1914 гг. – М.</w:t>
      </w:r>
      <w:r>
        <w:rPr>
          <w:rFonts w:hint="default" w:ascii="Times New Roman" w:hAnsi="Times New Roman" w:cs="Times New Roman"/>
          <w:i w:val="0"/>
          <w:iCs w:val="0"/>
          <w:lang w:val="en-US"/>
        </w:rPr>
        <w:t>:</w:t>
      </w:r>
      <w:r>
        <w:rPr>
          <w:rFonts w:hint="default" w:ascii="Times New Roman" w:hAnsi="Times New Roman" w:cs="Times New Roman"/>
          <w:i w:val="0"/>
          <w:iCs w:val="0"/>
        </w:rPr>
        <w:t>наука, 1992. – С.145-150.</w:t>
      </w:r>
    </w:p>
  </w:footnote>
  <w:footnote w:id="4">
    <w:p w14:paraId="6B93F5AD">
      <w:pPr>
        <w:pStyle w:val="15"/>
        <w:rPr>
          <w:rFonts w:hint="default" w:ascii="Times New Roman" w:hAnsi="Times New Roman" w:cs="Times New Roman"/>
          <w:i w:val="0"/>
          <w:iCs w:val="0"/>
        </w:rPr>
      </w:pPr>
      <w:r>
        <w:rPr>
          <w:rStyle w:val="13"/>
          <w:rFonts w:hint="default" w:ascii="Times New Roman" w:hAnsi="Times New Roman" w:cs="Times New Roman"/>
          <w:i w:val="0"/>
          <w:iCs w:val="0"/>
        </w:rPr>
        <w:footnoteRef/>
      </w:r>
      <w:r>
        <w:rPr>
          <w:rFonts w:hint="default" w:ascii="Times New Roman" w:hAnsi="Times New Roman" w:cs="Times New Roman"/>
          <w:i w:val="0"/>
          <w:iCs w:val="0"/>
        </w:rPr>
        <w:t xml:space="preserve"> Тюкавкин В.Г. Великорусское крестьянство и столыпинская аграрная реформа. – М.: Памятники исторической мысли, 2001. – С.  178-182.</w:t>
      </w:r>
    </w:p>
    <w:p w14:paraId="585A4707">
      <w:pPr>
        <w:pStyle w:val="15"/>
        <w:rPr>
          <w:rFonts w:hint="default" w:ascii="Times New Roman" w:hAnsi="Times New Roman" w:cs="Times New Roman"/>
          <w:i w:val="0"/>
          <w:iCs w:val="0"/>
        </w:rPr>
      </w:pPr>
    </w:p>
  </w:footnote>
  <w:footnote w:id="5">
    <w:p w14:paraId="3AE54467">
      <w:pPr>
        <w:pStyle w:val="15"/>
        <w:rPr>
          <w:rFonts w:hint="default" w:ascii="Times New Roman" w:hAnsi="Times New Roman" w:cs="Times New Roman"/>
          <w:i w:val="0"/>
          <w:iCs w:val="0"/>
        </w:rPr>
      </w:pPr>
      <w:r>
        <w:rPr>
          <w:rStyle w:val="13"/>
          <w:rFonts w:hint="default" w:ascii="Times New Roman" w:hAnsi="Times New Roman" w:cs="Times New Roman"/>
          <w:i w:val="0"/>
          <w:iCs w:val="0"/>
        </w:rPr>
        <w:footnoteRef/>
      </w:r>
      <w:r>
        <w:rPr>
          <w:rFonts w:hint="default" w:ascii="Times New Roman" w:hAnsi="Times New Roman" w:cs="Times New Roman"/>
          <w:i w:val="0"/>
          <w:iCs w:val="0"/>
        </w:rPr>
        <w:t xml:space="preserve"> Тюкавкин В.Г. Великорусское крестьянство и столыпинская аграрная реформа. – М.: Памятники исторической мысли, 2001. – С.  203-205.</w:t>
      </w:r>
    </w:p>
  </w:footnote>
  <w:footnote w:id="6">
    <w:p w14:paraId="62A0584F">
      <w:pPr>
        <w:pStyle w:val="15"/>
        <w:rPr>
          <w:rFonts w:hint="default" w:ascii="Times New Roman" w:hAnsi="Times New Roman" w:cs="Times New Roman"/>
          <w:i w:val="0"/>
          <w:iCs w:val="0"/>
        </w:rPr>
      </w:pPr>
      <w:r>
        <w:rPr>
          <w:rStyle w:val="13"/>
          <w:rFonts w:hint="default" w:ascii="Times New Roman" w:hAnsi="Times New Roman" w:cs="Times New Roman"/>
          <w:i w:val="0"/>
          <w:iCs w:val="0"/>
        </w:rPr>
        <w:footnoteRef/>
      </w:r>
      <w:r>
        <w:rPr>
          <w:rFonts w:hint="default" w:ascii="Times New Roman" w:hAnsi="Times New Roman" w:cs="Times New Roman"/>
          <w:i w:val="0"/>
          <w:iCs w:val="0"/>
        </w:rPr>
        <w:t xml:space="preserve"> История России: учебник / А.С. Орлов, В.А. Георгиев, Н.Г Георгиева, Т.А. Сивохина. – 4 изд. – М.: Проспект, 2014. -С. 324.</w:t>
      </w:r>
    </w:p>
  </w:footnote>
  <w:footnote w:id="7">
    <w:p w14:paraId="1B8AEA64">
      <w:pPr>
        <w:pStyle w:val="15"/>
        <w:rPr>
          <w:rFonts w:hint="default" w:ascii="Times New Roman" w:hAnsi="Times New Roman" w:cs="Times New Roman"/>
          <w:i w:val="0"/>
          <w:iCs w:val="0"/>
        </w:rPr>
      </w:pPr>
      <w:r>
        <w:rPr>
          <w:rStyle w:val="13"/>
          <w:rFonts w:hint="default" w:ascii="Times New Roman" w:hAnsi="Times New Roman" w:cs="Times New Roman"/>
          <w:i w:val="0"/>
          <w:iCs w:val="0"/>
        </w:rPr>
        <w:footnoteRef/>
      </w:r>
      <w:r>
        <w:rPr>
          <w:rFonts w:hint="default" w:ascii="Times New Roman" w:hAnsi="Times New Roman" w:cs="Times New Roman"/>
          <w:i w:val="0"/>
          <w:iCs w:val="0"/>
        </w:rPr>
        <w:t xml:space="preserve"> Дякин В.С Был ли шанс у Столыпина? // Звезда. – 1990. – №12. – С. 130-131</w:t>
      </w:r>
    </w:p>
  </w:footnote>
  <w:footnote w:id="8">
    <w:p w14:paraId="3496B786">
      <w:pPr>
        <w:pStyle w:val="15"/>
        <w:rPr>
          <w:rFonts w:hint="default" w:ascii="Times New Roman" w:hAnsi="Times New Roman" w:cs="Times New Roman"/>
          <w:i w:val="0"/>
          <w:iCs w:val="0"/>
        </w:rPr>
      </w:pPr>
      <w:r>
        <w:rPr>
          <w:rStyle w:val="13"/>
          <w:rFonts w:hint="default" w:ascii="Times New Roman" w:hAnsi="Times New Roman" w:cs="Times New Roman"/>
          <w:i w:val="0"/>
          <w:iCs w:val="0"/>
        </w:rPr>
        <w:footnoteRef/>
      </w:r>
      <w:r>
        <w:rPr>
          <w:rFonts w:hint="default" w:ascii="Times New Roman" w:hAnsi="Times New Roman" w:cs="Times New Roman"/>
          <w:i w:val="0"/>
          <w:iCs w:val="0"/>
        </w:rPr>
        <w:t xml:space="preserve"> Дякин В.С Был ли шанс у Столыпина? // Звезда. – 1990. – №12. – С 128-129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7847AC"/>
    <w:multiLevelType w:val="multilevel"/>
    <w:tmpl w:val="457847A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34975"/>
    <w:multiLevelType w:val="multilevel"/>
    <w:tmpl w:val="7B63497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18"/>
    <w:footnote w:id="19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F3"/>
    <w:rsid w:val="0004042C"/>
    <w:rsid w:val="00077192"/>
    <w:rsid w:val="00142178"/>
    <w:rsid w:val="00265B0D"/>
    <w:rsid w:val="00382087"/>
    <w:rsid w:val="004A34FE"/>
    <w:rsid w:val="00616C0B"/>
    <w:rsid w:val="0065357F"/>
    <w:rsid w:val="006C6442"/>
    <w:rsid w:val="007025F3"/>
    <w:rsid w:val="0078586A"/>
    <w:rsid w:val="007B0BF4"/>
    <w:rsid w:val="007B50FF"/>
    <w:rsid w:val="00817A2D"/>
    <w:rsid w:val="008935E3"/>
    <w:rsid w:val="008E4084"/>
    <w:rsid w:val="00943032"/>
    <w:rsid w:val="009A66A0"/>
    <w:rsid w:val="00B21A5F"/>
    <w:rsid w:val="00B30085"/>
    <w:rsid w:val="00B469D5"/>
    <w:rsid w:val="00BD35E8"/>
    <w:rsid w:val="00BF0D7E"/>
    <w:rsid w:val="00C70AB2"/>
    <w:rsid w:val="00D275AE"/>
    <w:rsid w:val="00DC2E10"/>
    <w:rsid w:val="00E37DF7"/>
    <w:rsid w:val="00E80020"/>
    <w:rsid w:val="00E8798C"/>
    <w:rsid w:val="00EF0FB1"/>
    <w:rsid w:val="00FA7DEF"/>
    <w:rsid w:val="00FC4CE0"/>
    <w:rsid w:val="4F0F4B74"/>
    <w:rsid w:val="50850EA0"/>
    <w:rsid w:val="5F333521"/>
    <w:rsid w:val="6481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semiHidden/>
    <w:unhideWhenUsed/>
    <w:qFormat/>
    <w:uiPriority w:val="99"/>
    <w:rPr>
      <w:vertAlign w:val="superscript"/>
    </w:rPr>
  </w:style>
  <w:style w:type="character" w:styleId="14">
    <w:name w:val="Hyperlink"/>
    <w:basedOn w:val="11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paragraph" w:styleId="15">
    <w:name w:val="footnote text"/>
    <w:basedOn w:val="1"/>
    <w:link w:val="3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6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8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Заголовок Знак"/>
    <w:basedOn w:val="11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Подзаголовок Знак"/>
    <w:basedOn w:val="11"/>
    <w:link w:val="1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Цитата 2 Знак"/>
    <w:basedOn w:val="11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Выделенная цитата Знак"/>
    <w:basedOn w:val="11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Текст сноски Знак"/>
    <w:basedOn w:val="11"/>
    <w:link w:val="15"/>
    <w:semiHidden/>
    <w:qFormat/>
    <w:uiPriority w:val="99"/>
    <w:rPr>
      <w:sz w:val="20"/>
      <w:szCs w:val="20"/>
    </w:rPr>
  </w:style>
  <w:style w:type="character" w:customStyle="1" w:styleId="37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79927-7EFD-4F95-A44C-B110D5A544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992</Words>
  <Characters>5658</Characters>
  <Lines>47</Lines>
  <Paragraphs>13</Paragraphs>
  <TotalTime>3</TotalTime>
  <ScaleCrop>false</ScaleCrop>
  <LinksUpToDate>false</LinksUpToDate>
  <CharactersWithSpaces>6637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2025-12-21T06:20:00Z</dcterms:created>
  <dc:creator>Данил Комличенко</dc:creator>
  <cp:lastModifiedBy>WPS_1758019664</cp:lastModifiedBy>
  <dcterms:modified xsi:type="dcterms:W3CDTF">2025-12-21T13:33:22Z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EFA11B234E664D2FBFF18E4A6313560E_13</vt:lpwstr>
  </property>
</Properties>
</file>