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EA738" w14:textId="681B5AC5" w:rsidR="00176266" w:rsidRPr="00176266" w:rsidRDefault="00176266" w:rsidP="00D8705D">
      <w:pPr>
        <w:ind w:left="-567" w:right="-568"/>
        <w:rPr>
          <w:rFonts w:ascii="Arial" w:eastAsia="Times New Roman" w:hAnsi="Arial" w:cs="Arial"/>
          <w:i/>
          <w:iCs/>
          <w:color w:val="000000" w:themeColor="text1"/>
          <w:kern w:val="0"/>
          <w:sz w:val="21"/>
          <w:szCs w:val="21"/>
          <w:lang w:val="en-GB" w:eastAsia="ru-RU"/>
          <w14:ligatures w14:val="none"/>
        </w:rPr>
      </w:pPr>
      <w:r w:rsidRPr="00176266">
        <w:rPr>
          <w:rFonts w:ascii="Arial" w:eastAsia="Times New Roman" w:hAnsi="Arial" w:cs="Arial"/>
          <w:i/>
          <w:iCs/>
          <w:color w:val="000000" w:themeColor="text1"/>
          <w:kern w:val="0"/>
          <w:sz w:val="21"/>
          <w:szCs w:val="21"/>
          <w:lang w:eastAsia="ru-RU"/>
          <w14:ligatures w14:val="none"/>
        </w:rPr>
        <w:t>Название рубрики: Транспортные системы и инфраструктура</w:t>
      </w:r>
      <w:r w:rsidRPr="00176266">
        <w:rPr>
          <w:rFonts w:ascii="Arial" w:eastAsia="Times New Roman" w:hAnsi="Arial" w:cs="Arial"/>
          <w:i/>
          <w:iCs/>
          <w:color w:val="000000" w:themeColor="text1"/>
          <w:kern w:val="0"/>
          <w:sz w:val="21"/>
          <w:szCs w:val="21"/>
          <w:lang w:eastAsia="ru-RU"/>
          <w14:ligatures w14:val="none"/>
        </w:rPr>
        <w:br/>
      </w:r>
      <w:r w:rsidRPr="00176266">
        <w:rPr>
          <w:rFonts w:ascii="Arial" w:eastAsia="Arial" w:hAnsi="Arial" w:cs="Arial"/>
          <w:b/>
          <w:bCs/>
          <w:kern w:val="0"/>
          <w:sz w:val="24"/>
          <w:szCs w:val="24"/>
          <w14:ligatures w14:val="none"/>
        </w:rPr>
        <w:t>УДК 629.113.0.025:711.4</w:t>
      </w:r>
    </w:p>
    <w:p w14:paraId="2FC1DEFE" w14:textId="77777777" w:rsidR="00176266" w:rsidRPr="00176266" w:rsidRDefault="00176266" w:rsidP="00176266">
      <w:pPr>
        <w:ind w:left="-567" w:right="-1"/>
        <w:rPr>
          <w:rFonts w:ascii="Arial" w:eastAsia="Arial" w:hAnsi="Arial" w:cs="Arial"/>
          <w:b/>
          <w:kern w:val="0"/>
          <w:sz w:val="28"/>
          <w14:ligatures w14:val="none"/>
        </w:rPr>
      </w:pPr>
      <w:r w:rsidRPr="00176266">
        <w:rPr>
          <w:rFonts w:ascii="Arial" w:eastAsia="Arial" w:hAnsi="Arial" w:cs="Arial"/>
          <w:b/>
          <w:kern w:val="0"/>
          <w:sz w:val="28"/>
          <w14:ligatures w14:val="none"/>
        </w:rPr>
        <w:t>Электрозарядные станции как ключевой элемент инфраструктуры современного города: проблемы и пути развития</w:t>
      </w:r>
    </w:p>
    <w:p w14:paraId="3B949356" w14:textId="403BFBEB" w:rsidR="00176266" w:rsidRPr="00176266" w:rsidRDefault="00176266" w:rsidP="00176266">
      <w:pPr>
        <w:ind w:left="-567" w:right="-568"/>
      </w:pPr>
      <w:r w:rsidRPr="00176266">
        <w:rPr>
          <w:rFonts w:ascii="Arial" w:eastAsia="Arial" w:hAnsi="Arial" w:cs="Arial"/>
          <w:b/>
          <w:kern w:val="0"/>
          <w:sz w:val="24"/>
          <w14:ligatures w14:val="none"/>
        </w:rPr>
        <w:t xml:space="preserve">© </w:t>
      </w:r>
      <w:r w:rsidRPr="00176266">
        <w:rPr>
          <w:rFonts w:ascii="Arial" w:eastAsia="Arial" w:hAnsi="Arial" w:cs="Arial"/>
          <w:b/>
          <w:kern w:val="0"/>
          <w:sz w:val="24"/>
          <w14:ligatures w14:val="none"/>
        </w:rPr>
        <w:t>П</w:t>
      </w:r>
      <w:r w:rsidRPr="00176266">
        <w:rPr>
          <w:rFonts w:ascii="Arial" w:eastAsia="Arial" w:hAnsi="Arial" w:cs="Arial"/>
          <w:b/>
          <w:kern w:val="0"/>
          <w:sz w:val="24"/>
          <w14:ligatures w14:val="none"/>
        </w:rPr>
        <w:t>.</w:t>
      </w:r>
      <w:r w:rsidRPr="00176266">
        <w:rPr>
          <w:rFonts w:ascii="Arial" w:eastAsia="Arial" w:hAnsi="Arial" w:cs="Arial"/>
          <w:b/>
          <w:kern w:val="0"/>
          <w:sz w:val="24"/>
          <w14:ligatures w14:val="none"/>
        </w:rPr>
        <w:t xml:space="preserve"> А</w:t>
      </w:r>
      <w:r w:rsidRPr="00176266">
        <w:rPr>
          <w:rFonts w:ascii="Arial" w:eastAsia="Arial" w:hAnsi="Arial" w:cs="Arial"/>
          <w:b/>
          <w:kern w:val="0"/>
          <w:sz w:val="24"/>
          <w14:ligatures w14:val="none"/>
        </w:rPr>
        <w:t xml:space="preserve">. </w:t>
      </w:r>
      <w:r w:rsidRPr="00176266">
        <w:rPr>
          <w:rFonts w:ascii="Arial" w:eastAsia="Arial" w:hAnsi="Arial" w:cs="Arial"/>
          <w:b/>
          <w:kern w:val="0"/>
          <w:sz w:val="24"/>
          <w14:ligatures w14:val="none"/>
        </w:rPr>
        <w:t>Ламуев</w:t>
      </w:r>
      <w:r w:rsidRPr="00176266">
        <w:br/>
        <w:t>Иркутский национальный исследовательский технический университет,</w:t>
      </w:r>
      <w:r w:rsidRPr="00176266">
        <w:br/>
        <w:t>г. Иркутск, Российская Федерация</w:t>
      </w:r>
    </w:p>
    <w:p w14:paraId="4DE514A5" w14:textId="538E04E6" w:rsidR="00176266" w:rsidRPr="00176266" w:rsidRDefault="00176266" w:rsidP="00176266">
      <w:pPr>
        <w:ind w:left="-567" w:right="-1"/>
        <w:jc w:val="both"/>
        <w:rPr>
          <w:rFonts w:ascii="Arial" w:eastAsia="Arial" w:hAnsi="Arial" w:cs="Arial"/>
          <w:kern w:val="0"/>
          <w:sz w:val="20"/>
          <w14:ligatures w14:val="none"/>
        </w:rPr>
      </w:pPr>
      <w:r w:rsidRPr="00176266">
        <w:rPr>
          <w:rFonts w:ascii="Arial" w:eastAsia="Arial" w:hAnsi="Arial" w:cs="Arial"/>
          <w:kern w:val="0"/>
          <w:sz w:val="20"/>
          <w14:ligatures w14:val="none"/>
        </w:rPr>
        <w:t>Стремительная электрификация транспорта, являющаяся глобальным ответом на климатические вызовы и проблему загрязнения городского воздуха, порождает острую потребность в развитии зарядной инфраструктуры. Целью данной статьи является комплексный анализ роли электрозарядных станций (ЭЗС) в формировании устойчивой городской среды, систематизация ключевых проблем на пути их массового внедрения и выработка рекомендаций по их решению. В работе применены методы системного анализа, классификации и синтеза данных из современных источников. В результате проведенного исследования дана детальная классификация ЭЗС по скорости заряда и типам размещения, проанализирована их многогранная роль (экологическая, экономическая, социально-градостроительная). Выявлены ключевые проблемы: технологические (перегрузка сетей, отсутствие единых стандартов), экономические (высокие капитальные затраты, длительный срок окупаемости) и регуляторные (бюрократические барьеры). В качестве основных путей решения предложены: внедрение технологий «умной зарядки» (Smart Charging, V2G) и интеграция с ВИЭ; развитие бизнес-моделей государственно-частного партнерства (ГЧП); активное регулирующее участие государства, включая упрощение процедур и обновление строительных норм. Сделан вывод, что успешное развитие зарядной инфраструктуры, основанное на синергии технологий, бизнеса и регуляторики, является обязательным условием для перехода к экологичной и интеллектуальной городской мобильности.</w:t>
      </w:r>
    </w:p>
    <w:p w14:paraId="6855E5F1" w14:textId="77777777" w:rsidR="00176266" w:rsidRDefault="00176266" w:rsidP="00176266">
      <w:pPr>
        <w:widowControl w:val="0"/>
        <w:autoSpaceDE w:val="0"/>
        <w:autoSpaceDN w:val="0"/>
        <w:spacing w:after="0" w:line="240" w:lineRule="auto"/>
        <w:ind w:left="-567"/>
        <w:jc w:val="both"/>
        <w:rPr>
          <w:rFonts w:ascii="Arial" w:eastAsia="Arial" w:hAnsi="Arial" w:cs="Arial"/>
          <w:i/>
          <w:kern w:val="0"/>
          <w:sz w:val="20"/>
          <w14:ligatures w14:val="none"/>
        </w:rPr>
      </w:pPr>
      <w:r w:rsidRPr="00176266">
        <w:rPr>
          <w:rFonts w:ascii="Arial" w:eastAsia="Arial" w:hAnsi="Arial" w:cs="Arial"/>
          <w:i/>
          <w:kern w:val="0"/>
          <w:sz w:val="20"/>
          <w14:ligatures w14:val="none"/>
        </w:rPr>
        <w:t>Ключевые слова: электрозарядная станция (ЭЗС), зарядная инфраструктура, электротранспорт, городская среда, умная зарядка (Smart Charging), государственно-частное партнерство (ГЧП), устойчивое развитие.</w:t>
      </w:r>
    </w:p>
    <w:p w14:paraId="6697467E" w14:textId="77777777" w:rsidR="00176266" w:rsidRPr="00176266" w:rsidRDefault="00176266" w:rsidP="00176266">
      <w:pPr>
        <w:widowControl w:val="0"/>
        <w:autoSpaceDE w:val="0"/>
        <w:autoSpaceDN w:val="0"/>
        <w:spacing w:after="0" w:line="240" w:lineRule="auto"/>
        <w:ind w:left="-567"/>
        <w:jc w:val="both"/>
        <w:rPr>
          <w:rFonts w:ascii="Arial" w:eastAsia="Arial" w:hAnsi="Arial" w:cs="Arial"/>
          <w:i/>
          <w:kern w:val="0"/>
          <w:sz w:val="20"/>
          <w14:ligatures w14:val="none"/>
        </w:rPr>
      </w:pPr>
    </w:p>
    <w:p w14:paraId="42632CE3" w14:textId="77777777" w:rsidR="00176266" w:rsidRDefault="00176266" w:rsidP="00176266">
      <w:pPr>
        <w:widowControl w:val="0"/>
        <w:autoSpaceDE w:val="0"/>
        <w:autoSpaceDN w:val="0"/>
        <w:spacing w:after="0" w:line="240" w:lineRule="auto"/>
        <w:ind w:left="-567"/>
        <w:outlineLvl w:val="1"/>
        <w:rPr>
          <w:rFonts w:ascii="Arial" w:eastAsia="Arial" w:hAnsi="Arial" w:cs="Arial"/>
          <w:b/>
          <w:bCs/>
          <w:kern w:val="0"/>
          <w:sz w:val="28"/>
          <w:szCs w:val="28"/>
          <w14:ligatures w14:val="none"/>
        </w:rPr>
      </w:pPr>
      <w:r w:rsidRPr="00176266">
        <w:rPr>
          <w:rFonts w:ascii="Arial" w:eastAsia="Arial" w:hAnsi="Arial" w:cs="Arial"/>
          <w:b/>
          <w:bCs/>
          <w:kern w:val="0"/>
          <w:sz w:val="28"/>
          <w:szCs w:val="28"/>
          <w:lang w:val="en-US"/>
          <w14:ligatures w14:val="none"/>
        </w:rPr>
        <w:t>Electric vehicle charging stations as a key element of modern urban infrastructure: challenges and development paths</w:t>
      </w:r>
    </w:p>
    <w:p w14:paraId="22934A2E" w14:textId="77777777" w:rsidR="00176266" w:rsidRPr="00176266" w:rsidRDefault="00176266" w:rsidP="00176266">
      <w:pPr>
        <w:widowControl w:val="0"/>
        <w:autoSpaceDE w:val="0"/>
        <w:autoSpaceDN w:val="0"/>
        <w:spacing w:after="0" w:line="240" w:lineRule="auto"/>
        <w:ind w:left="-567"/>
        <w:outlineLvl w:val="1"/>
        <w:rPr>
          <w:rFonts w:ascii="Arial" w:eastAsia="Arial" w:hAnsi="Arial" w:cs="Arial"/>
          <w:b/>
          <w:bCs/>
          <w:kern w:val="0"/>
          <w:sz w:val="28"/>
          <w:szCs w:val="28"/>
          <w14:ligatures w14:val="none"/>
        </w:rPr>
      </w:pPr>
    </w:p>
    <w:p w14:paraId="71BDCE3D" w14:textId="2C69E866" w:rsidR="00176266" w:rsidRPr="00176266" w:rsidRDefault="00176266" w:rsidP="00176266">
      <w:pPr>
        <w:ind w:left="-567" w:right="-568"/>
        <w:rPr>
          <w:lang w:val="en-GB"/>
        </w:rPr>
      </w:pPr>
      <w:r w:rsidRPr="00176266">
        <w:rPr>
          <w:rFonts w:ascii="Arial" w:eastAsia="Arial" w:hAnsi="Arial" w:cs="Arial"/>
          <w:b/>
          <w:bCs/>
          <w:kern w:val="0"/>
          <w:sz w:val="24"/>
          <w:szCs w:val="24"/>
          <w:lang w:val="en-US"/>
          <w14:ligatures w14:val="none"/>
        </w:rPr>
        <w:t xml:space="preserve">© </w:t>
      </w:r>
      <w:r w:rsidRPr="00176266">
        <w:rPr>
          <w:rFonts w:ascii="Arial" w:eastAsia="Arial" w:hAnsi="Arial" w:cs="Arial"/>
          <w:b/>
          <w:bCs/>
          <w:kern w:val="0"/>
          <w:sz w:val="24"/>
          <w:szCs w:val="24"/>
          <w:lang w:val="en-US"/>
          <w14:ligatures w14:val="none"/>
        </w:rPr>
        <w:t>Pavel A. Lamuev</w:t>
      </w:r>
      <w:r w:rsidRPr="00176266">
        <w:rPr>
          <w:lang w:val="en-GB"/>
        </w:rPr>
        <w:br/>
        <w:t>Irkutsk National Research Technical University,</w:t>
      </w:r>
      <w:r w:rsidRPr="00176266">
        <w:rPr>
          <w:lang w:val="en-GB"/>
        </w:rPr>
        <w:br/>
        <w:t>Irkutsk, Russian Federation</w:t>
      </w:r>
    </w:p>
    <w:p w14:paraId="199DE8D5" w14:textId="0D2349CA" w:rsidR="00176266" w:rsidRPr="00176266" w:rsidRDefault="00176266" w:rsidP="00176266">
      <w:pPr>
        <w:ind w:left="-567" w:right="-1"/>
        <w:jc w:val="both"/>
        <w:rPr>
          <w:rFonts w:ascii="Arial" w:eastAsia="Arial" w:hAnsi="Arial" w:cs="Arial"/>
          <w:kern w:val="0"/>
          <w:sz w:val="20"/>
          <w:lang w:val="en-US"/>
          <w14:ligatures w14:val="none"/>
        </w:rPr>
      </w:pPr>
      <w:r w:rsidRPr="00176266">
        <w:rPr>
          <w:rFonts w:ascii="Arial" w:eastAsia="Arial" w:hAnsi="Arial" w:cs="Arial"/>
          <w:kern w:val="0"/>
          <w:sz w:val="20"/>
          <w:lang w:val="en-US"/>
          <w14:ligatures w14:val="none"/>
        </w:rPr>
        <w:t xml:space="preserve">The rapid electrification of transport, a global response to climate challenges and urban air pollution, creates an acute need for charging infrastructure development. The purpose of this article is a comprehensive analysis of the role of electric vehicle charging stations (EVCS) in the formation of a sustainable urban environment, systematization of the key problems on the path to their mass implementation, and the development of recommendations for their solution. The work applies methods of system analysis, classification, and synthesis of data from modern sources. As a result of the study, a detailed classification of EVCS by charging speed and placement types is given, and their multifaceted role (environmental, economic, socio-urban planning) is analyzed. Key problems are identified: technological (grid overload, lack of unified standards), economic (high capital costs, long payback period) and regulatory (bureaucratic barriers). The main solutions proposed </w:t>
      </w:r>
      <w:proofErr w:type="gramStart"/>
      <w:r w:rsidRPr="00176266">
        <w:rPr>
          <w:rFonts w:ascii="Arial" w:eastAsia="Arial" w:hAnsi="Arial" w:cs="Arial"/>
          <w:kern w:val="0"/>
          <w:sz w:val="20"/>
          <w:lang w:val="en-US"/>
          <w14:ligatures w14:val="none"/>
        </w:rPr>
        <w:t>are:</w:t>
      </w:r>
      <w:proofErr w:type="gramEnd"/>
      <w:r w:rsidRPr="00176266">
        <w:rPr>
          <w:rFonts w:ascii="Arial" w:eastAsia="Arial" w:hAnsi="Arial" w:cs="Arial"/>
          <w:kern w:val="0"/>
          <w:sz w:val="20"/>
          <w:lang w:val="en-US"/>
          <w14:ligatures w14:val="none"/>
        </w:rPr>
        <w:t xml:space="preserve"> the introduction of "smart charging" technologies (Smart Charging, V2G) and integration with renewable energy sources (RES); development of public-private partnership (PPP) business models; active regulatory participation of the state, including simplification of procedures and updating of building codes. It is concluded that the successful development of charging infrastructure, based on the synergy of technology, business, and regulation, is a prerequisite for the transition to environmentally friendly and intelligent urban mobility.</w:t>
      </w:r>
    </w:p>
    <w:p w14:paraId="59F9F1CB" w14:textId="77777777" w:rsidR="00176266" w:rsidRPr="00176266" w:rsidRDefault="00176266" w:rsidP="00176266">
      <w:pPr>
        <w:widowControl w:val="0"/>
        <w:autoSpaceDE w:val="0"/>
        <w:autoSpaceDN w:val="0"/>
        <w:spacing w:after="0" w:line="240" w:lineRule="auto"/>
        <w:ind w:left="-567"/>
        <w:jc w:val="both"/>
        <w:rPr>
          <w:rFonts w:ascii="Arial" w:eastAsia="Arial" w:hAnsi="Arial" w:cs="Arial"/>
          <w:i/>
          <w:kern w:val="0"/>
          <w:sz w:val="20"/>
          <w:lang w:val="en-US"/>
          <w14:ligatures w14:val="none"/>
        </w:rPr>
      </w:pPr>
      <w:r w:rsidRPr="00176266">
        <w:rPr>
          <w:rFonts w:ascii="Arial" w:eastAsia="Arial" w:hAnsi="Arial" w:cs="Arial"/>
          <w:i/>
          <w:kern w:val="0"/>
          <w:sz w:val="20"/>
          <w:lang w:val="en-US"/>
          <w14:ligatures w14:val="none"/>
        </w:rPr>
        <w:t>Keywords: electric vehicle charging station (EVCS), charging infrastructure, electric transport, urban environment, smart charging, public-private partnership (PPP), sustainable development.</w:t>
      </w:r>
    </w:p>
    <w:p w14:paraId="6307E1DC" w14:textId="56E1AD83" w:rsidR="00176266" w:rsidRPr="00176266" w:rsidRDefault="00176266" w:rsidP="00C9262A">
      <w:pPr>
        <w:spacing w:after="0" w:line="240" w:lineRule="auto"/>
        <w:ind w:left="-567"/>
        <w:jc w:val="both"/>
        <w:rPr>
          <w:rFonts w:ascii="Arial" w:eastAsia="Calibri" w:hAnsi="Arial" w:cs="Arial"/>
          <w:kern w:val="0"/>
          <w14:ligatures w14:val="none"/>
        </w:rPr>
      </w:pPr>
      <w:r w:rsidRPr="00176266">
        <w:br/>
      </w:r>
      <w:r w:rsidR="003744EB" w:rsidRPr="003744EB">
        <w:rPr>
          <w:rFonts w:ascii="Arial" w:eastAsia="Calibri" w:hAnsi="Arial" w:cs="Arial"/>
          <w:kern w:val="0"/>
          <w14:ligatures w14:val="none"/>
        </w:rPr>
        <w:t xml:space="preserve">           </w:t>
      </w:r>
      <w:r w:rsidRPr="00176266">
        <w:rPr>
          <w:rFonts w:ascii="Arial" w:eastAsia="Calibri" w:hAnsi="Arial" w:cs="Arial"/>
          <w:kern w:val="0"/>
          <w14:ligatures w14:val="none"/>
        </w:rPr>
        <w:t xml:space="preserve">Актуальность темы обусловлена глобальной трансформацией транспортного сектора в условиях борьбы с изменением климата и загрязнением атмосферы городских агломераций. </w:t>
      </w:r>
      <w:r w:rsidR="003744EB" w:rsidRPr="003744EB">
        <w:rPr>
          <w:rFonts w:ascii="Arial" w:eastAsia="Calibri" w:hAnsi="Arial" w:cs="Arial"/>
          <w:kern w:val="0"/>
          <w14:ligatures w14:val="none"/>
        </w:rPr>
        <w:t xml:space="preserve">   </w:t>
      </w:r>
      <w:r w:rsidRPr="00176266">
        <w:rPr>
          <w:rFonts w:ascii="Arial" w:eastAsia="Calibri" w:hAnsi="Arial" w:cs="Arial"/>
          <w:kern w:val="0"/>
          <w14:ligatures w14:val="none"/>
        </w:rPr>
        <w:lastRenderedPageBreak/>
        <w:t xml:space="preserve">Электромобильность утвердилась в качестве одного из центральных трендов современности, однако её широкое распространение имеет жесткую зависимость от развития соответствующей инфраструктуры, ключевым элементом которой выступают электрозарядные станции (ЭЗС). </w:t>
      </w:r>
      <w:r w:rsidR="003744EB" w:rsidRPr="003744EB">
        <w:rPr>
          <w:rFonts w:ascii="Arial" w:eastAsia="Calibri" w:hAnsi="Arial" w:cs="Arial"/>
          <w:kern w:val="0"/>
          <w14:ligatures w14:val="none"/>
        </w:rPr>
        <w:t xml:space="preserve">  </w:t>
      </w:r>
      <w:r w:rsidRPr="00176266">
        <w:rPr>
          <w:rFonts w:ascii="Arial" w:eastAsia="Calibri" w:hAnsi="Arial" w:cs="Arial"/>
          <w:kern w:val="0"/>
          <w14:ligatures w14:val="none"/>
        </w:rPr>
        <w:t>Динамичный рост мирового парка электромобилей в последние годы опережает темпы создания удобной, доступной и технологически сбалансированной зарядной сети, создавая существенный барьер для массовой адаптации данного вида транспорта.</w:t>
      </w:r>
    </w:p>
    <w:p w14:paraId="4070937B" w14:textId="0B2D3FB3" w:rsidR="00176266" w:rsidRPr="00176266" w:rsidRDefault="003744EB" w:rsidP="00C9262A">
      <w:pPr>
        <w:ind w:left="-567" w:right="-1"/>
        <w:jc w:val="both"/>
        <w:rPr>
          <w:rFonts w:ascii="Arial" w:eastAsia="Calibri" w:hAnsi="Arial" w:cs="Arial"/>
          <w:kern w:val="0"/>
          <w14:ligatures w14:val="none"/>
        </w:rPr>
      </w:pPr>
      <w:r w:rsidRPr="003744EB">
        <w:rPr>
          <w:rFonts w:ascii="Arial" w:eastAsia="Calibri" w:hAnsi="Arial" w:cs="Arial"/>
          <w:kern w:val="0"/>
          <w14:ligatures w14:val="none"/>
        </w:rPr>
        <w:t xml:space="preserve">           </w:t>
      </w:r>
      <w:r w:rsidR="00176266" w:rsidRPr="00176266">
        <w:rPr>
          <w:rFonts w:ascii="Arial" w:eastAsia="Calibri" w:hAnsi="Arial" w:cs="Arial"/>
          <w:kern w:val="0"/>
          <w14:ligatures w14:val="none"/>
        </w:rPr>
        <w:t>Цель исследования – комплексный анализ роли ЭЗС в структуре современной городской инфраструктуры, идентификация ключевых проблем их развертывания и эксплуатации, а также систематизация перспективных направлений и механизмов их решения.</w:t>
      </w:r>
    </w:p>
    <w:p w14:paraId="39D6B85D" w14:textId="77777777" w:rsidR="00176266" w:rsidRPr="00176266" w:rsidRDefault="00176266" w:rsidP="00C9262A">
      <w:pPr>
        <w:ind w:left="-567" w:right="-1"/>
        <w:jc w:val="both"/>
        <w:rPr>
          <w:rFonts w:ascii="Arial" w:eastAsia="Calibri" w:hAnsi="Arial" w:cs="Arial"/>
          <w:kern w:val="0"/>
          <w14:ligatures w14:val="none"/>
        </w:rPr>
      </w:pPr>
      <w:r w:rsidRPr="00176266">
        <w:rPr>
          <w:rFonts w:ascii="Arial" w:eastAsia="Calibri" w:hAnsi="Arial" w:cs="Arial"/>
          <w:kern w:val="0"/>
          <w14:ligatures w14:val="none"/>
        </w:rPr>
        <w:t>Для достижения поставленной цели были сформулированы следующие задачи:</w:t>
      </w:r>
    </w:p>
    <w:p w14:paraId="7D6BAA16" w14:textId="77777777" w:rsidR="00176266" w:rsidRPr="00176266" w:rsidRDefault="00176266" w:rsidP="00C9262A">
      <w:pPr>
        <w:numPr>
          <w:ilvl w:val="0"/>
          <w:numId w:val="1"/>
        </w:numPr>
        <w:tabs>
          <w:tab w:val="clear" w:pos="720"/>
          <w:tab w:val="num" w:pos="284"/>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Провести классификацию электрозарядных станций по основным технологическим и эксплуатационным параметрам.</w:t>
      </w:r>
    </w:p>
    <w:p w14:paraId="26691A2F" w14:textId="77777777" w:rsidR="00176266" w:rsidRPr="00176266" w:rsidRDefault="00176266" w:rsidP="00C9262A">
      <w:pPr>
        <w:numPr>
          <w:ilvl w:val="0"/>
          <w:numId w:val="1"/>
        </w:numPr>
        <w:tabs>
          <w:tab w:val="clear" w:pos="720"/>
          <w:tab w:val="num" w:pos="284"/>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Проанализировать многогранное влияние зарядной инфраструктуры на экологическую, экономическую и социально-пространственную среду города.</w:t>
      </w:r>
    </w:p>
    <w:p w14:paraId="291E5138" w14:textId="77777777" w:rsidR="00176266" w:rsidRPr="00176266" w:rsidRDefault="00176266" w:rsidP="00C9262A">
      <w:pPr>
        <w:numPr>
          <w:ilvl w:val="0"/>
          <w:numId w:val="1"/>
        </w:numPr>
        <w:tabs>
          <w:tab w:val="clear" w:pos="720"/>
          <w:tab w:val="num" w:pos="284"/>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Выявить и структурировать основные технологические, экономические и нормативно-правовые проблемы развития сети ЭЗС.</w:t>
      </w:r>
    </w:p>
    <w:p w14:paraId="0B1EAA83" w14:textId="77777777" w:rsidR="00176266" w:rsidRPr="00176266" w:rsidRDefault="00176266" w:rsidP="00C9262A">
      <w:pPr>
        <w:numPr>
          <w:ilvl w:val="0"/>
          <w:numId w:val="1"/>
        </w:numPr>
        <w:tabs>
          <w:tab w:val="clear" w:pos="720"/>
          <w:tab w:val="num" w:pos="284"/>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Предложить комплекс технологических, организационных и регуляторных решений для преодоления выявленных проблем.</w:t>
      </w:r>
    </w:p>
    <w:p w14:paraId="13F357F1" w14:textId="77777777" w:rsidR="00C9262A" w:rsidRPr="00C9262A" w:rsidRDefault="00176266" w:rsidP="00C9262A">
      <w:pPr>
        <w:ind w:left="-567" w:right="-1"/>
        <w:jc w:val="both"/>
        <w:rPr>
          <w:rFonts w:ascii="Arial" w:eastAsia="Calibri" w:hAnsi="Arial" w:cs="Arial"/>
          <w:b/>
          <w:bCs/>
          <w:kern w:val="0"/>
          <w14:ligatures w14:val="none"/>
        </w:rPr>
      </w:pPr>
      <w:r w:rsidRPr="00176266">
        <w:rPr>
          <w:rFonts w:ascii="Arial" w:eastAsia="Calibri" w:hAnsi="Arial" w:cs="Arial"/>
          <w:b/>
          <w:bCs/>
          <w:kern w:val="0"/>
          <w14:ligatures w14:val="none"/>
        </w:rPr>
        <w:t>1. Электрозарядные станции: понятие, типы и классификация</w:t>
      </w:r>
    </w:p>
    <w:p w14:paraId="32801CE9" w14:textId="4272DCEC" w:rsidR="00176266" w:rsidRPr="00176266" w:rsidRDefault="003744EB" w:rsidP="00C9262A">
      <w:pPr>
        <w:ind w:left="-567" w:right="-1"/>
        <w:jc w:val="both"/>
        <w:rPr>
          <w:rFonts w:ascii="Arial" w:eastAsia="Calibri" w:hAnsi="Arial" w:cs="Arial"/>
          <w:kern w:val="0"/>
          <w14:ligatures w14:val="none"/>
        </w:rPr>
      </w:pPr>
      <w:r w:rsidRPr="003744EB">
        <w:rPr>
          <w:rFonts w:ascii="Arial" w:eastAsia="Calibri" w:hAnsi="Arial" w:cs="Arial"/>
          <w:kern w:val="0"/>
          <w14:ligatures w14:val="none"/>
        </w:rPr>
        <w:t xml:space="preserve">           </w:t>
      </w:r>
      <w:r w:rsidR="00176266" w:rsidRPr="00176266">
        <w:rPr>
          <w:rFonts w:ascii="Arial" w:eastAsia="Calibri" w:hAnsi="Arial" w:cs="Arial"/>
          <w:kern w:val="0"/>
          <w14:ligatures w14:val="none"/>
        </w:rPr>
        <w:t>Электрозарядная станция (ЭЗС) представляет собой специализированный комплекс оборудования, предназначенный для передачи электрической энергии в тяговую аккумуляторную батарею (ТАБ) электромобиля. Данные объекты являются критически важным элементом экосистемы электротранспорта, обеспечивающим его энергетическую автономию [1].</w:t>
      </w:r>
    </w:p>
    <w:p w14:paraId="77E1EEC2" w14:textId="655A56CA" w:rsidR="00176266" w:rsidRPr="00176266" w:rsidRDefault="00176266" w:rsidP="00C9262A">
      <w:pPr>
        <w:pStyle w:val="a7"/>
        <w:spacing w:after="0" w:line="240" w:lineRule="auto"/>
        <w:ind w:left="-567" w:firstLine="567"/>
        <w:jc w:val="both"/>
        <w:rPr>
          <w:rFonts w:ascii="Arial" w:eastAsia="Calibri" w:hAnsi="Arial" w:cs="Arial"/>
          <w:b/>
          <w:bCs/>
          <w:kern w:val="0"/>
          <w14:ligatures w14:val="none"/>
        </w:rPr>
      </w:pPr>
      <w:r w:rsidRPr="00176266">
        <w:rPr>
          <w:rFonts w:ascii="Arial" w:eastAsia="Calibri" w:hAnsi="Arial" w:cs="Arial"/>
          <w:b/>
          <w:bCs/>
          <w:kern w:val="0"/>
          <w14:ligatures w14:val="none"/>
        </w:rPr>
        <w:t>1.1. Основным критерием, определяющим сценарий использования ЭЗС, является скорость заряда:</w:t>
      </w:r>
    </w:p>
    <w:p w14:paraId="319179B2" w14:textId="77777777" w:rsidR="00176266" w:rsidRPr="00176266" w:rsidRDefault="00176266" w:rsidP="00C9262A">
      <w:pPr>
        <w:numPr>
          <w:ilvl w:val="0"/>
          <w:numId w:val="2"/>
        </w:numPr>
        <w:tabs>
          <w:tab w:val="clear" w:pos="720"/>
          <w:tab w:val="num" w:pos="284"/>
        </w:tabs>
        <w:ind w:left="-567" w:right="-1" w:firstLine="709"/>
        <w:jc w:val="both"/>
        <w:rPr>
          <w:rFonts w:ascii="Arial" w:eastAsia="Calibri" w:hAnsi="Arial" w:cs="Arial"/>
          <w:kern w:val="0"/>
          <w14:ligatures w14:val="none"/>
        </w:rPr>
      </w:pPr>
      <w:r w:rsidRPr="00176266">
        <w:rPr>
          <w:rFonts w:ascii="Arial" w:eastAsia="Calibri" w:hAnsi="Arial" w:cs="Arial"/>
          <w:b/>
          <w:bCs/>
          <w:kern w:val="0"/>
          <w14:ligatures w14:val="none"/>
        </w:rPr>
        <w:t>Медленные</w:t>
      </w:r>
      <w:r w:rsidRPr="00176266">
        <w:rPr>
          <w:rFonts w:ascii="Arial" w:eastAsia="Calibri" w:hAnsi="Arial" w:cs="Arial"/>
          <w:kern w:val="0"/>
          <w14:ligatures w14:val="none"/>
        </w:rPr>
        <w:t xml:space="preserve"> (AC, ~3-22 кВт): используют переменный ток (AC). Время полного заряда составляет 6-12 часов. Применяются в местах длительного пребывания транспортного средства: у жилых домов, офисных зданий, придомовых парковках [2].</w:t>
      </w:r>
    </w:p>
    <w:p w14:paraId="34F666D3" w14:textId="77777777" w:rsidR="00176266" w:rsidRPr="00176266" w:rsidRDefault="00176266" w:rsidP="00C9262A">
      <w:pPr>
        <w:numPr>
          <w:ilvl w:val="0"/>
          <w:numId w:val="2"/>
        </w:numPr>
        <w:tabs>
          <w:tab w:val="clear" w:pos="720"/>
          <w:tab w:val="num" w:pos="284"/>
        </w:tabs>
        <w:ind w:left="-567" w:right="-1" w:firstLine="709"/>
        <w:jc w:val="both"/>
        <w:rPr>
          <w:rFonts w:ascii="Arial" w:eastAsia="Calibri" w:hAnsi="Arial" w:cs="Arial"/>
          <w:kern w:val="0"/>
          <w14:ligatures w14:val="none"/>
        </w:rPr>
      </w:pPr>
      <w:r w:rsidRPr="00176266">
        <w:rPr>
          <w:rFonts w:ascii="Arial" w:eastAsia="Calibri" w:hAnsi="Arial" w:cs="Arial"/>
          <w:b/>
          <w:bCs/>
          <w:kern w:val="0"/>
          <w14:ligatures w14:val="none"/>
        </w:rPr>
        <w:t>Быстрые</w:t>
      </w:r>
      <w:r w:rsidRPr="00176266">
        <w:rPr>
          <w:rFonts w:ascii="Arial" w:eastAsia="Calibri" w:hAnsi="Arial" w:cs="Arial"/>
          <w:kern w:val="0"/>
          <w14:ligatures w14:val="none"/>
        </w:rPr>
        <w:t xml:space="preserve"> (DC, ~50-150 кВт): используют постоянный ток (DC), преобразуемый станцией из сетевого переменного. Время заряда ТАБ до 80% составляет 20-40 минут. Размещаются на магистралях, вблизи торговых центров и на общественных парковках [3].</w:t>
      </w:r>
    </w:p>
    <w:p w14:paraId="6BD3793A" w14:textId="77777777" w:rsidR="00176266" w:rsidRPr="00176266" w:rsidRDefault="00176266" w:rsidP="00C9262A">
      <w:pPr>
        <w:numPr>
          <w:ilvl w:val="0"/>
          <w:numId w:val="2"/>
        </w:numPr>
        <w:tabs>
          <w:tab w:val="clear" w:pos="720"/>
          <w:tab w:val="num" w:pos="284"/>
        </w:tabs>
        <w:ind w:left="-567" w:right="-1" w:firstLine="709"/>
        <w:jc w:val="both"/>
        <w:rPr>
          <w:rFonts w:ascii="Arial" w:eastAsia="Calibri" w:hAnsi="Arial" w:cs="Arial"/>
          <w:kern w:val="0"/>
          <w14:ligatures w14:val="none"/>
        </w:rPr>
      </w:pPr>
      <w:r w:rsidRPr="00176266">
        <w:rPr>
          <w:rFonts w:ascii="Arial" w:eastAsia="Calibri" w:hAnsi="Arial" w:cs="Arial"/>
          <w:b/>
          <w:bCs/>
          <w:kern w:val="0"/>
          <w14:ligatures w14:val="none"/>
        </w:rPr>
        <w:t>Сверхбыстрые</w:t>
      </w:r>
      <w:r w:rsidRPr="00176266">
        <w:rPr>
          <w:rFonts w:ascii="Arial" w:eastAsia="Calibri" w:hAnsi="Arial" w:cs="Arial"/>
          <w:kern w:val="0"/>
          <w14:ligatures w14:val="none"/>
        </w:rPr>
        <w:t xml:space="preserve"> (HPC, &gt;150 кВт): новое поколение станций постоянного тока. Позволяют зарядить батарею до 80% за 15-25 минут. Ключевое применение – основные транспортные коридоры и крупные логистические узлы, где критически важно минимальное время простоя [4].</w:t>
      </w:r>
    </w:p>
    <w:p w14:paraId="2ADE9856" w14:textId="56300C2E" w:rsidR="00176266" w:rsidRPr="00176266" w:rsidRDefault="00176266" w:rsidP="00C9262A">
      <w:pPr>
        <w:ind w:left="-567" w:right="-1" w:firstLine="567"/>
        <w:jc w:val="both"/>
        <w:rPr>
          <w:rFonts w:ascii="Arial" w:eastAsia="Calibri" w:hAnsi="Arial" w:cs="Arial"/>
          <w:b/>
          <w:bCs/>
          <w:kern w:val="0"/>
          <w14:ligatures w14:val="none"/>
        </w:rPr>
      </w:pPr>
      <w:r w:rsidRPr="00176266">
        <w:rPr>
          <w:rFonts w:ascii="Arial" w:eastAsia="Calibri" w:hAnsi="Arial" w:cs="Arial"/>
          <w:b/>
          <w:bCs/>
          <w:kern w:val="0"/>
          <w14:ligatures w14:val="none"/>
        </w:rPr>
        <w:t>1.2. По признаку доступности ЭЗС делятся на:</w:t>
      </w:r>
    </w:p>
    <w:p w14:paraId="3886F53B" w14:textId="77777777" w:rsidR="00176266" w:rsidRPr="00176266" w:rsidRDefault="00176266" w:rsidP="00C9262A">
      <w:pPr>
        <w:numPr>
          <w:ilvl w:val="0"/>
          <w:numId w:val="3"/>
        </w:numPr>
        <w:tabs>
          <w:tab w:val="num" w:pos="284"/>
        </w:tabs>
        <w:ind w:left="-567" w:right="-1" w:firstLine="709"/>
        <w:jc w:val="both"/>
        <w:rPr>
          <w:rFonts w:ascii="Arial" w:eastAsia="Calibri" w:hAnsi="Arial" w:cs="Arial"/>
          <w:kern w:val="0"/>
          <w14:ligatures w14:val="none"/>
        </w:rPr>
      </w:pPr>
      <w:r w:rsidRPr="00176266">
        <w:rPr>
          <w:rFonts w:ascii="Arial" w:eastAsia="Calibri" w:hAnsi="Arial" w:cs="Arial"/>
          <w:b/>
          <w:bCs/>
          <w:kern w:val="0"/>
          <w14:ligatures w14:val="none"/>
        </w:rPr>
        <w:t>Публичные</w:t>
      </w:r>
      <w:r w:rsidRPr="00176266">
        <w:rPr>
          <w:rFonts w:ascii="Arial" w:eastAsia="Calibri" w:hAnsi="Arial" w:cs="Arial"/>
          <w:kern w:val="0"/>
          <w14:ligatures w14:val="none"/>
        </w:rPr>
        <w:t>: коммерческие станции, открытые для всех пользователей.</w:t>
      </w:r>
    </w:p>
    <w:p w14:paraId="2C7AB80B" w14:textId="77777777" w:rsidR="00176266" w:rsidRPr="00176266" w:rsidRDefault="00176266" w:rsidP="00C9262A">
      <w:pPr>
        <w:numPr>
          <w:ilvl w:val="0"/>
          <w:numId w:val="3"/>
        </w:numPr>
        <w:tabs>
          <w:tab w:val="num" w:pos="284"/>
        </w:tabs>
        <w:ind w:left="-567" w:right="-1" w:firstLine="709"/>
        <w:jc w:val="both"/>
        <w:rPr>
          <w:rFonts w:ascii="Arial" w:eastAsia="Calibri" w:hAnsi="Arial" w:cs="Arial"/>
          <w:kern w:val="0"/>
          <w14:ligatures w14:val="none"/>
        </w:rPr>
      </w:pPr>
      <w:r w:rsidRPr="00176266">
        <w:rPr>
          <w:rFonts w:ascii="Arial" w:eastAsia="Calibri" w:hAnsi="Arial" w:cs="Arial"/>
          <w:b/>
          <w:bCs/>
          <w:kern w:val="0"/>
          <w14:ligatures w14:val="none"/>
        </w:rPr>
        <w:t>Частные (домашние)</w:t>
      </w:r>
      <w:r w:rsidRPr="00176266">
        <w:rPr>
          <w:rFonts w:ascii="Arial" w:eastAsia="Calibri" w:hAnsi="Arial" w:cs="Arial"/>
          <w:kern w:val="0"/>
          <w14:ligatures w14:val="none"/>
        </w:rPr>
        <w:t>: установленные для личного использования.</w:t>
      </w:r>
    </w:p>
    <w:p w14:paraId="7AF34F24" w14:textId="77777777" w:rsidR="00176266" w:rsidRPr="00176266" w:rsidRDefault="00176266" w:rsidP="00C9262A">
      <w:pPr>
        <w:numPr>
          <w:ilvl w:val="0"/>
          <w:numId w:val="3"/>
        </w:numPr>
        <w:tabs>
          <w:tab w:val="num" w:pos="284"/>
        </w:tabs>
        <w:ind w:left="-567" w:right="-1" w:firstLine="709"/>
        <w:jc w:val="both"/>
        <w:rPr>
          <w:rFonts w:ascii="Arial" w:eastAsia="Calibri" w:hAnsi="Arial" w:cs="Arial"/>
          <w:kern w:val="0"/>
          <w14:ligatures w14:val="none"/>
        </w:rPr>
      </w:pPr>
      <w:r w:rsidRPr="00176266">
        <w:rPr>
          <w:rFonts w:ascii="Arial" w:eastAsia="Calibri" w:hAnsi="Arial" w:cs="Arial"/>
          <w:b/>
          <w:bCs/>
          <w:kern w:val="0"/>
          <w14:ligatures w14:val="none"/>
        </w:rPr>
        <w:t>Полупубличные</w:t>
      </w:r>
      <w:r w:rsidRPr="00176266">
        <w:rPr>
          <w:rFonts w:ascii="Arial" w:eastAsia="Calibri" w:hAnsi="Arial" w:cs="Arial"/>
          <w:kern w:val="0"/>
          <w14:ligatures w14:val="none"/>
        </w:rPr>
        <w:t>: расположенные на территориях бизнес-центров, отелей, супермаркетов и доступные для их клиентов.</w:t>
      </w:r>
    </w:p>
    <w:p w14:paraId="63300D6A" w14:textId="77777777" w:rsidR="00176266" w:rsidRPr="00176266" w:rsidRDefault="00176266" w:rsidP="00176266">
      <w:pPr>
        <w:ind w:left="-567" w:right="-568"/>
        <w:rPr>
          <w:rFonts w:ascii="Arial" w:eastAsia="Calibri" w:hAnsi="Arial" w:cs="Arial"/>
          <w:kern w:val="0"/>
          <w14:ligatures w14:val="none"/>
        </w:rPr>
      </w:pPr>
      <w:r w:rsidRPr="00176266">
        <w:rPr>
          <w:rFonts w:ascii="Arial" w:eastAsia="Calibri" w:hAnsi="Arial" w:cs="Arial"/>
          <w:b/>
          <w:bCs/>
          <w:kern w:val="0"/>
          <w14:ligatures w14:val="none"/>
        </w:rPr>
        <w:t>2. Роль зарядной инфраструктуры в развитии городской среды</w:t>
      </w:r>
      <w:r w:rsidRPr="00176266">
        <w:rPr>
          <w:rFonts w:ascii="Arial" w:eastAsia="Calibri" w:hAnsi="Arial" w:cs="Arial"/>
          <w:kern w:val="0"/>
          <w14:ligatures w14:val="none"/>
        </w:rPr>
        <w:br/>
        <w:t>Развитие сети ЭЗС оказывает системное воздействие на город.</w:t>
      </w:r>
    </w:p>
    <w:p w14:paraId="457F86BB" w14:textId="77777777" w:rsidR="00176266" w:rsidRPr="00176266" w:rsidRDefault="00176266" w:rsidP="00C9262A">
      <w:pPr>
        <w:ind w:left="-567" w:right="-1" w:firstLine="567"/>
        <w:jc w:val="both"/>
        <w:rPr>
          <w:rFonts w:ascii="Arial" w:eastAsia="Calibri" w:hAnsi="Arial" w:cs="Arial"/>
          <w:kern w:val="0"/>
          <w14:ligatures w14:val="none"/>
        </w:rPr>
      </w:pPr>
      <w:r w:rsidRPr="00176266">
        <w:rPr>
          <w:rFonts w:ascii="Arial" w:eastAsia="Calibri" w:hAnsi="Arial" w:cs="Arial"/>
          <w:b/>
          <w:bCs/>
          <w:kern w:val="0"/>
          <w14:ligatures w14:val="none"/>
        </w:rPr>
        <w:lastRenderedPageBreak/>
        <w:t>2.1. Экологический аспект</w:t>
      </w:r>
      <w:r w:rsidRPr="00176266">
        <w:rPr>
          <w:rFonts w:ascii="Arial" w:eastAsia="Calibri" w:hAnsi="Arial" w:cs="Arial"/>
          <w:kern w:val="0"/>
          <w14:ligatures w14:val="none"/>
        </w:rPr>
        <w:t>. Массовый переход на электротранспорт, обеспеченный инфраструктурой, приводит к прямому снижению выбросов загрязняющих веществ (</w:t>
      </w:r>
      <w:proofErr w:type="spellStart"/>
      <w:r w:rsidRPr="00176266">
        <w:rPr>
          <w:rFonts w:ascii="Arial" w:eastAsia="Calibri" w:hAnsi="Arial" w:cs="Arial"/>
          <w:kern w:val="0"/>
          <w14:ligatures w14:val="none"/>
        </w:rPr>
        <w:t>NOx</w:t>
      </w:r>
      <w:proofErr w:type="spellEnd"/>
      <w:r w:rsidRPr="00176266">
        <w:rPr>
          <w:rFonts w:ascii="Arial" w:eastAsia="Calibri" w:hAnsi="Arial" w:cs="Arial"/>
          <w:kern w:val="0"/>
          <w14:ligatures w14:val="none"/>
        </w:rPr>
        <w:t>, CO, PM) и парниковых газов в городском воздухе [5].</w:t>
      </w:r>
    </w:p>
    <w:p w14:paraId="48608B00" w14:textId="77777777" w:rsidR="00176266" w:rsidRPr="00176266" w:rsidRDefault="00176266" w:rsidP="00C9262A">
      <w:pPr>
        <w:ind w:left="-567" w:right="-1" w:firstLine="567"/>
        <w:jc w:val="both"/>
        <w:rPr>
          <w:rFonts w:ascii="Arial" w:eastAsia="Calibri" w:hAnsi="Arial" w:cs="Arial"/>
          <w:kern w:val="0"/>
          <w14:ligatures w14:val="none"/>
        </w:rPr>
      </w:pPr>
      <w:r w:rsidRPr="00176266">
        <w:rPr>
          <w:rFonts w:ascii="Arial" w:eastAsia="Calibri" w:hAnsi="Arial" w:cs="Arial"/>
          <w:b/>
          <w:bCs/>
          <w:kern w:val="0"/>
          <w14:ligatures w14:val="none"/>
        </w:rPr>
        <w:t>2.2. Экономический аспект</w:t>
      </w:r>
      <w:r w:rsidRPr="00176266">
        <w:rPr>
          <w:rFonts w:ascii="Arial" w:eastAsia="Calibri" w:hAnsi="Arial" w:cs="Arial"/>
          <w:kern w:val="0"/>
          <w14:ligatures w14:val="none"/>
        </w:rPr>
        <w:t>. Создание сети ЭЗС стимулирует новые рынки (обслуживание, производство оборудования), привлекает инвестиции в «зелёные» технологии и увеличивает потребительскую активность в местах размещения станций [6].</w:t>
      </w:r>
    </w:p>
    <w:p w14:paraId="3AC15B63" w14:textId="77777777" w:rsidR="00176266" w:rsidRPr="00176266" w:rsidRDefault="00176266" w:rsidP="00C9262A">
      <w:pPr>
        <w:ind w:left="-567" w:right="-1" w:firstLine="567"/>
        <w:jc w:val="both"/>
        <w:rPr>
          <w:rFonts w:ascii="Arial" w:eastAsia="Calibri" w:hAnsi="Arial" w:cs="Arial"/>
          <w:kern w:val="0"/>
          <w14:ligatures w14:val="none"/>
        </w:rPr>
      </w:pPr>
      <w:r w:rsidRPr="00176266">
        <w:rPr>
          <w:rFonts w:ascii="Arial" w:eastAsia="Calibri" w:hAnsi="Arial" w:cs="Arial"/>
          <w:b/>
          <w:bCs/>
          <w:kern w:val="0"/>
          <w14:ligatures w14:val="none"/>
        </w:rPr>
        <w:t>2.3. Социальный и градостроительный аспект</w:t>
      </w:r>
      <w:r w:rsidRPr="00176266">
        <w:rPr>
          <w:rFonts w:ascii="Arial" w:eastAsia="Calibri" w:hAnsi="Arial" w:cs="Arial"/>
          <w:kern w:val="0"/>
          <w14:ligatures w14:val="none"/>
        </w:rPr>
        <w:t>. Доступная инфраструктура снижает «беспокойство о запасе хода» (</w:t>
      </w:r>
      <w:proofErr w:type="spellStart"/>
      <w:r w:rsidRPr="00176266">
        <w:rPr>
          <w:rFonts w:ascii="Arial" w:eastAsia="Calibri" w:hAnsi="Arial" w:cs="Arial"/>
          <w:kern w:val="0"/>
          <w14:ligatures w14:val="none"/>
        </w:rPr>
        <w:t>range</w:t>
      </w:r>
      <w:proofErr w:type="spellEnd"/>
      <w:r w:rsidRPr="00176266">
        <w:rPr>
          <w:rFonts w:ascii="Arial" w:eastAsia="Calibri" w:hAnsi="Arial" w:cs="Arial"/>
          <w:kern w:val="0"/>
          <w14:ligatures w14:val="none"/>
        </w:rPr>
        <w:t xml:space="preserve"> </w:t>
      </w:r>
      <w:proofErr w:type="spellStart"/>
      <w:r w:rsidRPr="00176266">
        <w:rPr>
          <w:rFonts w:ascii="Arial" w:eastAsia="Calibri" w:hAnsi="Arial" w:cs="Arial"/>
          <w:kern w:val="0"/>
          <w14:ligatures w14:val="none"/>
        </w:rPr>
        <w:t>anxiety</w:t>
      </w:r>
      <w:proofErr w:type="spellEnd"/>
      <w:r w:rsidRPr="00176266">
        <w:rPr>
          <w:rFonts w:ascii="Arial" w:eastAsia="Calibri" w:hAnsi="Arial" w:cs="Arial"/>
          <w:kern w:val="0"/>
          <w14:ligatures w14:val="none"/>
        </w:rPr>
        <w:t>), повышая привлекательность электромобилей. ЭЗС становятся элементом формирования имиджа «умного» города (Smart City) и способствуют снижению шумового загрязнения [7].</w:t>
      </w:r>
    </w:p>
    <w:p w14:paraId="26DBBD62" w14:textId="77777777" w:rsidR="00176266" w:rsidRPr="00176266" w:rsidRDefault="00176266" w:rsidP="003744EB">
      <w:pPr>
        <w:ind w:right="-568" w:hanging="567"/>
        <w:rPr>
          <w:rFonts w:ascii="Arial" w:eastAsia="Calibri" w:hAnsi="Arial" w:cs="Arial"/>
          <w:b/>
          <w:bCs/>
          <w:kern w:val="0"/>
          <w14:ligatures w14:val="none"/>
        </w:rPr>
      </w:pPr>
      <w:r w:rsidRPr="00176266">
        <w:rPr>
          <w:rFonts w:ascii="Arial" w:eastAsia="Calibri" w:hAnsi="Arial" w:cs="Arial"/>
          <w:b/>
          <w:bCs/>
          <w:kern w:val="0"/>
          <w14:ligatures w14:val="none"/>
        </w:rPr>
        <w:t>3. Проблемы и перспективные направления развития</w:t>
      </w:r>
      <w:r w:rsidRPr="00176266">
        <w:rPr>
          <w:rFonts w:ascii="Arial" w:eastAsia="Calibri" w:hAnsi="Arial" w:cs="Arial"/>
          <w:b/>
          <w:bCs/>
          <w:kern w:val="0"/>
          <w14:ligatures w14:val="none"/>
        </w:rPr>
        <w:br/>
        <w:t>3.1. Ключевые проблемы.</w:t>
      </w:r>
    </w:p>
    <w:p w14:paraId="56FD18F7" w14:textId="77777777" w:rsidR="00176266" w:rsidRPr="00176266" w:rsidRDefault="00176266" w:rsidP="003744EB">
      <w:pPr>
        <w:numPr>
          <w:ilvl w:val="0"/>
          <w:numId w:val="4"/>
        </w:numPr>
        <w:tabs>
          <w:tab w:val="clear" w:pos="720"/>
          <w:tab w:val="num" w:pos="142"/>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 xml:space="preserve">Технологические: риск пиковых нагрузок на электросети, неравномерность географического распределения («зарядные пустыни»), фрагментация стандартов разъёмов и протоколов связи (CCS, </w:t>
      </w:r>
      <w:proofErr w:type="spellStart"/>
      <w:r w:rsidRPr="00176266">
        <w:rPr>
          <w:rFonts w:ascii="Arial" w:eastAsia="Calibri" w:hAnsi="Arial" w:cs="Arial"/>
          <w:kern w:val="0"/>
          <w14:ligatures w14:val="none"/>
        </w:rPr>
        <w:t>CHAdeMO</w:t>
      </w:r>
      <w:proofErr w:type="spellEnd"/>
      <w:r w:rsidRPr="00176266">
        <w:rPr>
          <w:rFonts w:ascii="Arial" w:eastAsia="Calibri" w:hAnsi="Arial" w:cs="Arial"/>
          <w:kern w:val="0"/>
          <w14:ligatures w14:val="none"/>
        </w:rPr>
        <w:t>, GB/T) [8].</w:t>
      </w:r>
    </w:p>
    <w:p w14:paraId="46B396B1" w14:textId="77777777" w:rsidR="00176266" w:rsidRPr="00176266" w:rsidRDefault="00176266" w:rsidP="003744EB">
      <w:pPr>
        <w:numPr>
          <w:ilvl w:val="0"/>
          <w:numId w:val="4"/>
        </w:numPr>
        <w:tabs>
          <w:tab w:val="clear" w:pos="720"/>
          <w:tab w:val="num" w:pos="142"/>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Экономические: высокие капитальные (оборудование, подключение) и операционные затраты при длительном сроке окупаемости, фрагментированность систем оплаты [9].</w:t>
      </w:r>
    </w:p>
    <w:p w14:paraId="72A8F1C5" w14:textId="77777777" w:rsidR="00176266" w:rsidRPr="00176266" w:rsidRDefault="00176266" w:rsidP="003744EB">
      <w:pPr>
        <w:numPr>
          <w:ilvl w:val="0"/>
          <w:numId w:val="4"/>
        </w:numPr>
        <w:tabs>
          <w:tab w:val="clear" w:pos="720"/>
          <w:tab w:val="num" w:pos="142"/>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Нормативно-правовые: сложные и длительные процедуры согласования и подключения, отсутствие единых регламентов размещения и технических требований [10].</w:t>
      </w:r>
    </w:p>
    <w:p w14:paraId="564FFADE" w14:textId="77777777" w:rsidR="00176266" w:rsidRPr="00176266" w:rsidRDefault="00176266" w:rsidP="003744EB">
      <w:pPr>
        <w:ind w:left="-567" w:right="-1" w:firstLine="567"/>
        <w:jc w:val="both"/>
        <w:rPr>
          <w:rFonts w:ascii="Arial" w:eastAsia="Calibri" w:hAnsi="Arial" w:cs="Arial"/>
          <w:b/>
          <w:bCs/>
          <w:kern w:val="0"/>
          <w14:ligatures w14:val="none"/>
        </w:rPr>
      </w:pPr>
      <w:r w:rsidRPr="00176266">
        <w:rPr>
          <w:rFonts w:ascii="Arial" w:eastAsia="Calibri" w:hAnsi="Arial" w:cs="Arial"/>
          <w:b/>
          <w:bCs/>
          <w:kern w:val="0"/>
          <w14:ligatures w14:val="none"/>
        </w:rPr>
        <w:t>3.2. Пути решения и перспективы.</w:t>
      </w:r>
    </w:p>
    <w:p w14:paraId="5557EA7E" w14:textId="77777777" w:rsidR="00176266" w:rsidRPr="00176266" w:rsidRDefault="00176266" w:rsidP="003744EB">
      <w:pPr>
        <w:numPr>
          <w:ilvl w:val="0"/>
          <w:numId w:val="5"/>
        </w:numPr>
        <w:tabs>
          <w:tab w:val="clear" w:pos="720"/>
          <w:tab w:val="num" w:pos="142"/>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Технологические решения: внедрение «умной зарядки» (Smart Charging) для управления нагрузкой; развитие технологии V2G (Vehicle-to-Grid); интеграция ЭЗС с ВИЭ и накопителями энергии; создание хабов быстрой зарядки [11].</w:t>
      </w:r>
    </w:p>
    <w:p w14:paraId="28CBC76E" w14:textId="77777777" w:rsidR="00176266" w:rsidRPr="00176266" w:rsidRDefault="00176266" w:rsidP="003744EB">
      <w:pPr>
        <w:numPr>
          <w:ilvl w:val="0"/>
          <w:numId w:val="5"/>
        </w:numPr>
        <w:tabs>
          <w:tab w:val="clear" w:pos="720"/>
          <w:tab w:val="num" w:pos="142"/>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Экономические модели: развитие механизмов ГЧП, предоставление целевых субсидий, создание единых платформ для сквозной оплаты (</w:t>
      </w:r>
      <w:proofErr w:type="spellStart"/>
      <w:r w:rsidRPr="00176266">
        <w:rPr>
          <w:rFonts w:ascii="Arial" w:eastAsia="Calibri" w:hAnsi="Arial" w:cs="Arial"/>
          <w:kern w:val="0"/>
          <w14:ligatures w14:val="none"/>
        </w:rPr>
        <w:t>roaming</w:t>
      </w:r>
      <w:proofErr w:type="spellEnd"/>
      <w:r w:rsidRPr="00176266">
        <w:rPr>
          <w:rFonts w:ascii="Arial" w:eastAsia="Calibri" w:hAnsi="Arial" w:cs="Arial"/>
          <w:kern w:val="0"/>
          <w14:ligatures w14:val="none"/>
        </w:rPr>
        <w:t>), комбинирование зарядки с дополнительными сервисами [12].</w:t>
      </w:r>
    </w:p>
    <w:p w14:paraId="2CAE90C4" w14:textId="77777777" w:rsidR="00176266" w:rsidRPr="00176266" w:rsidRDefault="00176266" w:rsidP="003744EB">
      <w:pPr>
        <w:numPr>
          <w:ilvl w:val="0"/>
          <w:numId w:val="5"/>
        </w:numPr>
        <w:tabs>
          <w:tab w:val="clear" w:pos="720"/>
          <w:tab w:val="num" w:pos="142"/>
        </w:tabs>
        <w:ind w:left="-567" w:right="-1" w:firstLine="567"/>
        <w:jc w:val="both"/>
        <w:rPr>
          <w:rFonts w:ascii="Arial" w:eastAsia="Calibri" w:hAnsi="Arial" w:cs="Arial"/>
          <w:kern w:val="0"/>
          <w14:ligatures w14:val="none"/>
        </w:rPr>
      </w:pPr>
      <w:r w:rsidRPr="00176266">
        <w:rPr>
          <w:rFonts w:ascii="Arial" w:eastAsia="Calibri" w:hAnsi="Arial" w:cs="Arial"/>
          <w:kern w:val="0"/>
          <w14:ligatures w14:val="none"/>
        </w:rPr>
        <w:t>Государственное регулирование: упрощение административных процедур («одно окно»), внесение требований по зарядной инфраструктуре в строительные нормы (например, обязательное количество зарядных точек на парковке нового здания), разработка единых национальных стандартов [13].</w:t>
      </w:r>
    </w:p>
    <w:p w14:paraId="3FF485D2" w14:textId="696942DA" w:rsidR="00176266" w:rsidRPr="00176266" w:rsidRDefault="00176266" w:rsidP="003744EB">
      <w:pPr>
        <w:ind w:left="-567" w:firstLine="425"/>
        <w:jc w:val="both"/>
        <w:rPr>
          <w:rFonts w:ascii="Arial" w:eastAsia="Calibri" w:hAnsi="Arial" w:cs="Arial"/>
          <w:kern w:val="0"/>
          <w14:ligatures w14:val="none"/>
        </w:rPr>
      </w:pPr>
      <w:r w:rsidRPr="00176266">
        <w:br/>
      </w:r>
      <w:r w:rsidR="003744EB" w:rsidRPr="003744EB">
        <w:rPr>
          <w:rFonts w:ascii="Arial" w:eastAsia="Calibri" w:hAnsi="Arial" w:cs="Arial"/>
          <w:kern w:val="0"/>
          <w14:ligatures w14:val="none"/>
        </w:rPr>
        <w:t xml:space="preserve">           </w:t>
      </w:r>
      <w:r w:rsidRPr="00176266">
        <w:rPr>
          <w:rFonts w:ascii="Arial" w:eastAsia="Calibri" w:hAnsi="Arial" w:cs="Arial"/>
          <w:kern w:val="0"/>
          <w14:ligatures w14:val="none"/>
        </w:rPr>
        <w:t>Электрозарядная станция эволюционировала из простого зарядного устройства в сложный технологический узел и значимый элемент городской инфраструктуры. Её развитие напрямую влияет на экологию, экономику и качество городской жизни. Несмотря на комплекс проблем технологического, экономического и регуляторного характера, инструменты для их решения уже сформированы. К ним относятся: интеллектуальные системы управления энергией, гибкие бизнес-модели при поддержке государства и чёткое нормативное регулирование.</w:t>
      </w:r>
    </w:p>
    <w:p w14:paraId="22BEA23B" w14:textId="77777777" w:rsidR="00176266" w:rsidRPr="00176266" w:rsidRDefault="00176266" w:rsidP="003744EB">
      <w:pPr>
        <w:ind w:left="-567" w:firstLine="709"/>
        <w:jc w:val="both"/>
        <w:rPr>
          <w:rFonts w:ascii="Arial" w:eastAsia="Calibri" w:hAnsi="Arial" w:cs="Arial"/>
          <w:kern w:val="0"/>
          <w14:ligatures w14:val="none"/>
        </w:rPr>
      </w:pPr>
      <w:r w:rsidRPr="00176266">
        <w:rPr>
          <w:rFonts w:ascii="Arial" w:eastAsia="Calibri" w:hAnsi="Arial" w:cs="Arial"/>
          <w:kern w:val="0"/>
          <w14:ligatures w14:val="none"/>
        </w:rPr>
        <w:t>Успешное и устойчивое развитие зарядной инфраструктуры, основанное на принципах синергии и технологической интеграции, является не просто сопутствующим условием, а фундаментальной основой для перехода к новой парадигме городской мобильности – экологичной, умной и ориентированной на человека.</w:t>
      </w:r>
    </w:p>
    <w:p w14:paraId="43C60846" w14:textId="77777777" w:rsidR="00D8705D" w:rsidRDefault="00D8705D" w:rsidP="00CA4BCE">
      <w:pPr>
        <w:spacing w:after="150" w:line="240" w:lineRule="auto"/>
        <w:ind w:firstLine="709"/>
        <w:jc w:val="center"/>
        <w:rPr>
          <w:rFonts w:ascii="Arial" w:eastAsia="Times New Roman" w:hAnsi="Arial" w:cs="Arial"/>
          <w:b/>
          <w:bCs/>
          <w:color w:val="000000" w:themeColor="text1"/>
          <w:kern w:val="0"/>
          <w:sz w:val="20"/>
          <w:szCs w:val="20"/>
          <w:lang w:eastAsia="ru-RU"/>
          <w14:ligatures w14:val="none"/>
        </w:rPr>
      </w:pPr>
    </w:p>
    <w:p w14:paraId="4B505234" w14:textId="77777777" w:rsidR="00D8705D" w:rsidRDefault="00D8705D" w:rsidP="00CA4BCE">
      <w:pPr>
        <w:spacing w:after="150" w:line="240" w:lineRule="auto"/>
        <w:ind w:firstLine="709"/>
        <w:jc w:val="center"/>
        <w:rPr>
          <w:rFonts w:ascii="Arial" w:eastAsia="Times New Roman" w:hAnsi="Arial" w:cs="Arial"/>
          <w:b/>
          <w:bCs/>
          <w:color w:val="000000" w:themeColor="text1"/>
          <w:kern w:val="0"/>
          <w:sz w:val="20"/>
          <w:szCs w:val="20"/>
          <w:lang w:eastAsia="ru-RU"/>
          <w14:ligatures w14:val="none"/>
        </w:rPr>
      </w:pPr>
    </w:p>
    <w:p w14:paraId="20ABB5D0" w14:textId="77777777" w:rsidR="00D8705D" w:rsidRDefault="00D8705D" w:rsidP="00CA4BCE">
      <w:pPr>
        <w:spacing w:after="150" w:line="240" w:lineRule="auto"/>
        <w:ind w:firstLine="709"/>
        <w:jc w:val="center"/>
        <w:rPr>
          <w:rFonts w:ascii="Arial" w:eastAsia="Times New Roman" w:hAnsi="Arial" w:cs="Arial"/>
          <w:b/>
          <w:bCs/>
          <w:color w:val="000000" w:themeColor="text1"/>
          <w:kern w:val="0"/>
          <w:sz w:val="20"/>
          <w:szCs w:val="20"/>
          <w:lang w:eastAsia="ru-RU"/>
          <w14:ligatures w14:val="none"/>
        </w:rPr>
      </w:pPr>
    </w:p>
    <w:p w14:paraId="06627C37" w14:textId="636E7C84" w:rsidR="00176266" w:rsidRPr="00176266" w:rsidRDefault="00176266" w:rsidP="00CA4BCE">
      <w:pPr>
        <w:spacing w:after="150" w:line="240" w:lineRule="auto"/>
        <w:ind w:firstLine="709"/>
        <w:jc w:val="center"/>
        <w:rPr>
          <w:rFonts w:ascii="Arial" w:eastAsia="Times New Roman" w:hAnsi="Arial" w:cs="Arial"/>
          <w:b/>
          <w:bCs/>
          <w:color w:val="000000" w:themeColor="text1"/>
          <w:kern w:val="0"/>
          <w:sz w:val="20"/>
          <w:szCs w:val="20"/>
          <w:lang w:eastAsia="ru-RU"/>
          <w14:ligatures w14:val="none"/>
        </w:rPr>
      </w:pPr>
      <w:r w:rsidRPr="00176266">
        <w:rPr>
          <w:rFonts w:ascii="Arial" w:eastAsia="Times New Roman" w:hAnsi="Arial" w:cs="Arial"/>
          <w:b/>
          <w:bCs/>
          <w:color w:val="000000" w:themeColor="text1"/>
          <w:kern w:val="0"/>
          <w:sz w:val="20"/>
          <w:szCs w:val="20"/>
          <w:lang w:eastAsia="ru-RU"/>
          <w14:ligatures w14:val="none"/>
        </w:rPr>
        <w:lastRenderedPageBreak/>
        <w:t>Библиографический список</w:t>
      </w:r>
    </w:p>
    <w:p w14:paraId="6EAFAB35" w14:textId="4B83E2FC" w:rsidR="00176266" w:rsidRPr="00176266" w:rsidRDefault="00176266"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176266">
        <w:rPr>
          <w:rFonts w:ascii="Arial" w:eastAsia="Times New Roman" w:hAnsi="Arial" w:cs="Arial"/>
          <w:bCs/>
          <w:color w:val="000000" w:themeColor="text1"/>
          <w:kern w:val="0"/>
          <w:sz w:val="21"/>
          <w:szCs w:val="21"/>
          <w:lang w:eastAsia="ru-RU"/>
          <w14:ligatures w14:val="none"/>
        </w:rPr>
        <w:t>​Шпилькин С.</w:t>
      </w:r>
      <w:r w:rsidR="00D8705D">
        <w:rPr>
          <w:rFonts w:ascii="Arial" w:eastAsia="Times New Roman" w:hAnsi="Arial" w:cs="Arial"/>
          <w:bCs/>
          <w:color w:val="000000" w:themeColor="text1"/>
          <w:kern w:val="0"/>
          <w:sz w:val="21"/>
          <w:szCs w:val="21"/>
          <w:lang w:eastAsia="ru-RU"/>
          <w14:ligatures w14:val="none"/>
        </w:rPr>
        <w:t xml:space="preserve"> </w:t>
      </w:r>
      <w:r w:rsidRPr="00176266">
        <w:rPr>
          <w:rFonts w:ascii="Arial" w:eastAsia="Times New Roman" w:hAnsi="Arial" w:cs="Arial"/>
          <w:bCs/>
          <w:color w:val="000000" w:themeColor="text1"/>
          <w:kern w:val="0"/>
          <w:sz w:val="21"/>
          <w:szCs w:val="21"/>
          <w:lang w:eastAsia="ru-RU"/>
          <w14:ligatures w14:val="none"/>
        </w:rPr>
        <w:t xml:space="preserve">В., Иванов </w:t>
      </w:r>
      <w:r w:rsidR="00D8705D" w:rsidRPr="00176266">
        <w:rPr>
          <w:rFonts w:ascii="Arial" w:eastAsia="Times New Roman" w:hAnsi="Arial" w:cs="Arial"/>
          <w:bCs/>
          <w:color w:val="000000" w:themeColor="text1"/>
          <w:kern w:val="0"/>
          <w:sz w:val="21"/>
          <w:szCs w:val="21"/>
          <w:lang w:eastAsia="ru-RU"/>
          <w14:ligatures w14:val="none"/>
        </w:rPr>
        <w:t>А. А.</w:t>
      </w:r>
      <w:r w:rsidRPr="00176266">
        <w:rPr>
          <w:rFonts w:ascii="Arial" w:eastAsia="Times New Roman" w:hAnsi="Arial" w:cs="Arial"/>
          <w:bCs/>
          <w:color w:val="000000" w:themeColor="text1"/>
          <w:kern w:val="0"/>
          <w:sz w:val="21"/>
          <w:szCs w:val="21"/>
          <w:lang w:eastAsia="ru-RU"/>
          <w14:ligatures w14:val="none"/>
        </w:rPr>
        <w:t xml:space="preserve"> Перспективы развития инфраструктуры для зарядки электрического транспорта в Российской Федерации // Транспорт на альтернативном топливе. 2022. № 4 (82). С. 18–25.</w:t>
      </w:r>
    </w:p>
    <w:p w14:paraId="644813AD" w14:textId="5E536172" w:rsidR="00176266" w:rsidRPr="00176266" w:rsidRDefault="00176266"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176266">
        <w:rPr>
          <w:rFonts w:ascii="Arial" w:eastAsia="Times New Roman" w:hAnsi="Arial" w:cs="Arial"/>
          <w:bCs/>
          <w:color w:val="000000" w:themeColor="text1"/>
          <w:kern w:val="0"/>
          <w:sz w:val="21"/>
          <w:szCs w:val="21"/>
          <w:lang w:eastAsia="ru-RU"/>
          <w14:ligatures w14:val="none"/>
        </w:rPr>
        <w:t>​</w:t>
      </w:r>
      <w:r w:rsidR="00CA4BCE" w:rsidRPr="00CA4BCE">
        <w:rPr>
          <w:rFonts w:ascii="Arial" w:eastAsia="Times New Roman" w:hAnsi="Arial" w:cs="Arial"/>
          <w:color w:val="000000" w:themeColor="text1"/>
          <w:kern w:val="0"/>
          <w:sz w:val="21"/>
          <w:szCs w:val="21"/>
          <w:lang w:eastAsia="ru-RU"/>
          <w14:ligatures w14:val="none"/>
        </w:rPr>
        <w:t>Гайват Х. и др.</w:t>
      </w:r>
      <w:r w:rsidR="00CA4BCE" w:rsidRPr="00CA4BCE">
        <w:rPr>
          <w:rFonts w:ascii="Arial" w:eastAsia="Times New Roman" w:hAnsi="Arial" w:cs="Arial"/>
          <w:bCs/>
          <w:color w:val="000000" w:themeColor="text1"/>
          <w:kern w:val="0"/>
          <w:sz w:val="21"/>
          <w:szCs w:val="21"/>
          <w:lang w:eastAsia="ru-RU"/>
          <w14:ligatures w14:val="none"/>
        </w:rPr>
        <w:t> «Интеллектуальная зарядная инфраструктура для электромобилей: всесторонний обзор» // </w:t>
      </w:r>
      <w:r w:rsidR="00CA4BCE" w:rsidRPr="00CA4BCE">
        <w:rPr>
          <w:rFonts w:ascii="Arial" w:eastAsia="Times New Roman" w:hAnsi="Arial" w:cs="Arial"/>
          <w:color w:val="000000" w:themeColor="text1"/>
          <w:kern w:val="0"/>
          <w:sz w:val="21"/>
          <w:szCs w:val="21"/>
          <w:lang w:eastAsia="ru-RU"/>
          <w14:ligatures w14:val="none"/>
        </w:rPr>
        <w:t>Energies</w:t>
      </w:r>
      <w:r w:rsidR="00CA4BCE" w:rsidRPr="00CA4BCE">
        <w:rPr>
          <w:rFonts w:ascii="Arial" w:eastAsia="Times New Roman" w:hAnsi="Arial" w:cs="Arial"/>
          <w:bCs/>
          <w:color w:val="000000" w:themeColor="text1"/>
          <w:kern w:val="0"/>
          <w:sz w:val="21"/>
          <w:szCs w:val="21"/>
          <w:lang w:eastAsia="ru-RU"/>
          <w14:ligatures w14:val="none"/>
        </w:rPr>
        <w:t>. — 2023. — Т. 16, № 5. — С. 2051.</w:t>
      </w:r>
    </w:p>
    <w:p w14:paraId="3C27C4C4" w14:textId="06FAA077" w:rsidR="00176266" w:rsidRPr="00176266" w:rsidRDefault="00176266"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176266">
        <w:rPr>
          <w:rFonts w:ascii="Arial" w:eastAsia="Times New Roman" w:hAnsi="Arial" w:cs="Arial"/>
          <w:bCs/>
          <w:color w:val="000000" w:themeColor="text1"/>
          <w:kern w:val="0"/>
          <w:sz w:val="21"/>
          <w:szCs w:val="21"/>
          <w:lang w:eastAsia="ru-RU"/>
          <w14:ligatures w14:val="none"/>
        </w:rPr>
        <w:t>​</w:t>
      </w:r>
      <w:r w:rsidR="00D8705D" w:rsidRPr="00D8705D">
        <w:rPr>
          <w:rFonts w:ascii="Arial" w:eastAsia="Times New Roman" w:hAnsi="Arial" w:cs="Arial"/>
          <w:color w:val="000000" w:themeColor="text1"/>
          <w:kern w:val="0"/>
          <w:sz w:val="21"/>
          <w:szCs w:val="21"/>
          <w:lang w:eastAsia="ru-RU"/>
          <w14:ligatures w14:val="none"/>
        </w:rPr>
        <w:t>Европейское агентство по окружающей среде (EEA). Электромобили и энергетический сектор — влияние на будущие выбросы в Европе. </w:t>
      </w:r>
      <w:r w:rsidR="00D8705D" w:rsidRPr="00D8705D">
        <w:rPr>
          <w:rFonts w:ascii="Arial" w:eastAsia="Times New Roman" w:hAnsi="Arial" w:cs="Arial"/>
          <w:bCs/>
          <w:color w:val="000000" w:themeColor="text1"/>
          <w:kern w:val="0"/>
          <w:sz w:val="21"/>
          <w:szCs w:val="21"/>
          <w:lang w:eastAsia="ru-RU"/>
          <w14:ligatures w14:val="none"/>
        </w:rPr>
        <w:t>Отчет EEA № 09/2022. Люксембург: Бюро публикаций Европейского союза, 2022.</w:t>
      </w:r>
    </w:p>
    <w:p w14:paraId="5CB462C7" w14:textId="5E4BF16E" w:rsidR="00176266" w:rsidRPr="00176266" w:rsidRDefault="00176266"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176266">
        <w:rPr>
          <w:rFonts w:ascii="Arial" w:eastAsia="Times New Roman" w:hAnsi="Arial" w:cs="Arial"/>
          <w:bCs/>
          <w:color w:val="000000" w:themeColor="text1"/>
          <w:kern w:val="0"/>
          <w:sz w:val="21"/>
          <w:szCs w:val="21"/>
          <w:lang w:eastAsia="ru-RU"/>
          <w14:ligatures w14:val="none"/>
        </w:rPr>
        <w:t>​</w:t>
      </w:r>
      <w:r w:rsidR="00D8705D" w:rsidRPr="00D8705D">
        <w:rPr>
          <w:rFonts w:ascii="Arial" w:eastAsia="Times New Roman" w:hAnsi="Arial" w:cs="Arial"/>
          <w:color w:val="000000" w:themeColor="text1"/>
          <w:kern w:val="0"/>
          <w:sz w:val="21"/>
          <w:szCs w:val="21"/>
          <w:lang w:eastAsia="ru-RU"/>
          <w14:ligatures w14:val="none"/>
        </w:rPr>
        <w:t>McKinsey &amp; Company. Будущее мобильности: активное развитие инфраструктуры для электромобилей.</w:t>
      </w:r>
      <w:r w:rsidR="00D8705D" w:rsidRPr="00D8705D">
        <w:rPr>
          <w:rFonts w:ascii="Arial" w:eastAsia="Times New Roman" w:hAnsi="Arial" w:cs="Arial"/>
          <w:bCs/>
          <w:color w:val="000000" w:themeColor="text1"/>
          <w:kern w:val="0"/>
          <w:sz w:val="21"/>
          <w:szCs w:val="21"/>
          <w:lang w:eastAsia="ru-RU"/>
          <w14:ligatures w14:val="none"/>
        </w:rPr>
        <w:t> 2021.</w:t>
      </w:r>
      <w:r w:rsidR="00D8705D">
        <w:rPr>
          <w:rFonts w:ascii="Arial" w:eastAsia="Times New Roman" w:hAnsi="Arial" w:cs="Arial"/>
          <w:bCs/>
          <w:color w:val="000000" w:themeColor="text1"/>
          <w:kern w:val="0"/>
          <w:sz w:val="21"/>
          <w:szCs w:val="21"/>
          <w:lang w:eastAsia="ru-RU"/>
          <w14:ligatures w14:val="none"/>
        </w:rPr>
        <w:t xml:space="preserve"> </w:t>
      </w:r>
      <w:r w:rsidR="00D8705D" w:rsidRPr="00D8705D">
        <w:rPr>
          <w:rFonts w:ascii="Arial" w:eastAsia="Times New Roman" w:hAnsi="Arial" w:cs="Arial"/>
          <w:bCs/>
          <w:color w:val="000000" w:themeColor="text1"/>
          <w:kern w:val="0"/>
          <w:sz w:val="21"/>
          <w:szCs w:val="21"/>
          <w:lang w:eastAsia="ru-RU"/>
          <w14:ligatures w14:val="none"/>
        </w:rPr>
        <w:t>URL</w:t>
      </w:r>
      <w:r w:rsidRPr="00176266">
        <w:rPr>
          <w:rFonts w:ascii="Arial" w:eastAsia="Times New Roman" w:hAnsi="Arial" w:cs="Arial"/>
          <w:bCs/>
          <w:color w:val="000000" w:themeColor="text1"/>
          <w:kern w:val="0"/>
          <w:sz w:val="21"/>
          <w:szCs w:val="21"/>
          <w:lang w:eastAsia="ru-RU"/>
          <w14:ligatures w14:val="none"/>
        </w:rPr>
        <w:t>: </w:t>
      </w:r>
      <w:hyperlink r:id="rId5" w:tgtFrame="_blank" w:history="1">
        <w:r w:rsidRPr="00176266">
          <w:rPr>
            <w:rFonts w:ascii="Arial" w:eastAsia="Times New Roman" w:hAnsi="Arial" w:cs="Arial"/>
            <w:bCs/>
            <w:color w:val="000000" w:themeColor="text1"/>
            <w:kern w:val="0"/>
            <w:sz w:val="21"/>
            <w:szCs w:val="21"/>
            <w:lang w:eastAsia="ru-RU"/>
            <w14:ligatures w14:val="none"/>
          </w:rPr>
          <w:t>https://www.mckinsey.com/industries/automotive-and-assembly/our-insights/the-future-of-mobility-charging-ahead-with-electric-vehicle-infrastructure</w:t>
        </w:r>
      </w:hyperlink>
      <w:r w:rsidRPr="00176266">
        <w:rPr>
          <w:rFonts w:ascii="Arial" w:eastAsia="Times New Roman" w:hAnsi="Arial" w:cs="Arial"/>
          <w:bCs/>
          <w:color w:val="000000" w:themeColor="text1"/>
          <w:kern w:val="0"/>
          <w:sz w:val="21"/>
          <w:szCs w:val="21"/>
          <w:lang w:eastAsia="ru-RU"/>
          <w14:ligatures w14:val="none"/>
        </w:rPr>
        <w:t> (дата обращения: 01.03.2024).</w:t>
      </w:r>
    </w:p>
    <w:p w14:paraId="0F3E4264" w14:textId="77777777" w:rsidR="00176266" w:rsidRPr="00176266" w:rsidRDefault="00176266"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176266">
        <w:rPr>
          <w:rFonts w:ascii="Arial" w:eastAsia="Times New Roman" w:hAnsi="Arial" w:cs="Arial"/>
          <w:bCs/>
          <w:color w:val="000000" w:themeColor="text1"/>
          <w:kern w:val="0"/>
          <w:sz w:val="21"/>
          <w:szCs w:val="21"/>
          <w:lang w:eastAsia="ru-RU"/>
          <w14:ligatures w14:val="none"/>
        </w:rPr>
        <w:t>​Мелкумов Г.Л. Умный город: интеграция зарядной инфраструктуры в городское пространство // Архитектура и современные информационные технологии. 2023. № 1(62). С. 45–57.</w:t>
      </w:r>
    </w:p>
    <w:p w14:paraId="62859E7D" w14:textId="720FA1E5" w:rsidR="00176266" w:rsidRPr="00176266" w:rsidRDefault="00176266"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176266">
        <w:rPr>
          <w:rFonts w:ascii="Arial" w:eastAsia="Times New Roman" w:hAnsi="Arial" w:cs="Arial"/>
          <w:bCs/>
          <w:color w:val="000000" w:themeColor="text1"/>
          <w:kern w:val="0"/>
          <w:sz w:val="21"/>
          <w:szCs w:val="21"/>
          <w:lang w:eastAsia="ru-RU"/>
          <w14:ligatures w14:val="none"/>
        </w:rPr>
        <w:t>​</w:t>
      </w:r>
      <w:r w:rsidR="00D8705D" w:rsidRPr="00D8705D">
        <w:rPr>
          <w:rFonts w:ascii="Arial" w:eastAsia="Times New Roman" w:hAnsi="Arial" w:cs="Arial"/>
          <w:color w:val="000000" w:themeColor="text1"/>
          <w:kern w:val="0"/>
          <w:sz w:val="21"/>
          <w:szCs w:val="21"/>
          <w:lang w:eastAsia="ru-RU"/>
          <w14:ligatures w14:val="none"/>
        </w:rPr>
        <w:t>Международное агентство по возобновляемым источникам энергии (IRENA). Инновационная перспектива: Умная зарядка для электромобилей.</w:t>
      </w:r>
      <w:r w:rsidR="00D8705D" w:rsidRPr="00D8705D">
        <w:rPr>
          <w:rFonts w:ascii="Arial" w:eastAsia="Times New Roman" w:hAnsi="Arial" w:cs="Arial"/>
          <w:bCs/>
          <w:color w:val="000000" w:themeColor="text1"/>
          <w:kern w:val="0"/>
          <w:sz w:val="21"/>
          <w:szCs w:val="21"/>
          <w:lang w:eastAsia="ru-RU"/>
          <w14:ligatures w14:val="none"/>
        </w:rPr>
        <w:t> Абу-Даби: IRENA, 2019.</w:t>
      </w:r>
    </w:p>
    <w:p w14:paraId="3B1E0909" w14:textId="681660B4" w:rsidR="00176266" w:rsidRPr="00176266" w:rsidRDefault="00176266"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176266">
        <w:rPr>
          <w:rFonts w:ascii="Arial" w:eastAsia="Times New Roman" w:hAnsi="Arial" w:cs="Arial"/>
          <w:bCs/>
          <w:color w:val="000000" w:themeColor="text1"/>
          <w:kern w:val="0"/>
          <w:sz w:val="21"/>
          <w:szCs w:val="21"/>
          <w:lang w:eastAsia="ru-RU"/>
          <w14:ligatures w14:val="none"/>
        </w:rPr>
        <w:t xml:space="preserve">​Головнин </w:t>
      </w:r>
      <w:r w:rsidR="00D8705D" w:rsidRPr="00176266">
        <w:rPr>
          <w:rFonts w:ascii="Arial" w:eastAsia="Times New Roman" w:hAnsi="Arial" w:cs="Arial"/>
          <w:bCs/>
          <w:color w:val="000000" w:themeColor="text1"/>
          <w:kern w:val="0"/>
          <w:sz w:val="21"/>
          <w:szCs w:val="21"/>
          <w:lang w:eastAsia="ru-RU"/>
          <w14:ligatures w14:val="none"/>
        </w:rPr>
        <w:t>М. Ю.</w:t>
      </w:r>
      <w:r w:rsidRPr="00176266">
        <w:rPr>
          <w:rFonts w:ascii="Arial" w:eastAsia="Times New Roman" w:hAnsi="Arial" w:cs="Arial"/>
          <w:bCs/>
          <w:color w:val="000000" w:themeColor="text1"/>
          <w:kern w:val="0"/>
          <w:sz w:val="21"/>
          <w:szCs w:val="21"/>
          <w:lang w:eastAsia="ru-RU"/>
          <w14:ligatures w14:val="none"/>
        </w:rPr>
        <w:t xml:space="preserve">, Петрова </w:t>
      </w:r>
      <w:r w:rsidR="00D8705D" w:rsidRPr="00176266">
        <w:rPr>
          <w:rFonts w:ascii="Arial" w:eastAsia="Times New Roman" w:hAnsi="Arial" w:cs="Arial"/>
          <w:bCs/>
          <w:color w:val="000000" w:themeColor="text1"/>
          <w:kern w:val="0"/>
          <w:sz w:val="21"/>
          <w:szCs w:val="21"/>
          <w:lang w:eastAsia="ru-RU"/>
          <w14:ligatures w14:val="none"/>
        </w:rPr>
        <w:t>И. С.</w:t>
      </w:r>
      <w:r w:rsidRPr="00176266">
        <w:rPr>
          <w:rFonts w:ascii="Arial" w:eastAsia="Times New Roman" w:hAnsi="Arial" w:cs="Arial"/>
          <w:bCs/>
          <w:color w:val="000000" w:themeColor="text1"/>
          <w:kern w:val="0"/>
          <w:sz w:val="21"/>
          <w:szCs w:val="21"/>
          <w:lang w:eastAsia="ru-RU"/>
          <w14:ligatures w14:val="none"/>
        </w:rPr>
        <w:t xml:space="preserve"> Экономические аспекты развития сети зарядных станций для электротранспорта // Экономика региона. 2021. Т. 17, № 4. С. 1348–1362.</w:t>
      </w:r>
    </w:p>
    <w:p w14:paraId="0A4D8021" w14:textId="77777777" w:rsidR="00176266" w:rsidRPr="00176266" w:rsidRDefault="00176266"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176266">
        <w:rPr>
          <w:rFonts w:ascii="Arial" w:eastAsia="Times New Roman" w:hAnsi="Arial" w:cs="Arial"/>
          <w:bCs/>
          <w:color w:val="000000" w:themeColor="text1"/>
          <w:kern w:val="0"/>
          <w:sz w:val="21"/>
          <w:szCs w:val="21"/>
          <w:lang w:eastAsia="ru-RU"/>
          <w14:ligatures w14:val="none"/>
        </w:rPr>
        <w:t>Министерство транспорта Российской Федерации. Концепция развития электрического транспорта в Российской Федерации до 2030 года (проект). М., 2023.</w:t>
      </w:r>
    </w:p>
    <w:p w14:paraId="5EA6C928" w14:textId="46AF922B" w:rsidR="00176266" w:rsidRPr="00176266" w:rsidRDefault="00CA4BCE"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CA4BCE">
        <w:rPr>
          <w:rFonts w:ascii="Arial" w:eastAsia="Times New Roman" w:hAnsi="Arial" w:cs="Arial"/>
          <w:color w:val="000000" w:themeColor="text1"/>
          <w:kern w:val="0"/>
          <w:sz w:val="21"/>
          <w:szCs w:val="21"/>
          <w:lang w:eastAsia="ru-RU"/>
          <w14:ligatures w14:val="none"/>
        </w:rPr>
        <w:t>Кемптон В., Томич Й.</w:t>
      </w:r>
      <w:r w:rsidRPr="00CA4BCE">
        <w:rPr>
          <w:rFonts w:ascii="Arial" w:eastAsia="Times New Roman" w:hAnsi="Arial" w:cs="Arial"/>
          <w:bCs/>
          <w:color w:val="000000" w:themeColor="text1"/>
          <w:kern w:val="0"/>
          <w:sz w:val="21"/>
          <w:szCs w:val="21"/>
          <w:lang w:eastAsia="ru-RU"/>
          <w14:ligatures w14:val="none"/>
        </w:rPr>
        <w:t> «Основы технологии Vehicle-to-Grid: расчёт мощности и чистого дохода» // </w:t>
      </w:r>
      <w:r w:rsidRPr="00CA4BCE">
        <w:rPr>
          <w:rFonts w:ascii="Arial" w:eastAsia="Times New Roman" w:hAnsi="Arial" w:cs="Arial"/>
          <w:color w:val="000000" w:themeColor="text1"/>
          <w:kern w:val="0"/>
          <w:sz w:val="21"/>
          <w:szCs w:val="21"/>
          <w:lang w:eastAsia="ru-RU"/>
          <w14:ligatures w14:val="none"/>
        </w:rPr>
        <w:t>Journal of Power Sources</w:t>
      </w:r>
      <w:r w:rsidRPr="00CA4BCE">
        <w:rPr>
          <w:rFonts w:ascii="Arial" w:eastAsia="Times New Roman" w:hAnsi="Arial" w:cs="Arial"/>
          <w:bCs/>
          <w:color w:val="000000" w:themeColor="text1"/>
          <w:kern w:val="0"/>
          <w:sz w:val="21"/>
          <w:szCs w:val="21"/>
          <w:lang w:eastAsia="ru-RU"/>
          <w14:ligatures w14:val="none"/>
        </w:rPr>
        <w:t>. — 2005. — Т. 144, № 1. — С. 268–279.</w:t>
      </w:r>
      <w:r w:rsidR="00176266" w:rsidRPr="00176266">
        <w:rPr>
          <w:rFonts w:ascii="Arial" w:eastAsia="Times New Roman" w:hAnsi="Arial" w:cs="Arial"/>
          <w:bCs/>
          <w:color w:val="000000" w:themeColor="text1"/>
          <w:kern w:val="0"/>
          <w:sz w:val="21"/>
          <w:szCs w:val="21"/>
          <w:lang w:eastAsia="ru-RU"/>
          <w14:ligatures w14:val="none"/>
        </w:rPr>
        <w:t>World Bank Group. Public-Private Partnerships in Electric Vehicle Charging Infrastructure. Washington, DC: World Bank, 2020.</w:t>
      </w:r>
    </w:p>
    <w:p w14:paraId="3F7FF9D8" w14:textId="0DED7E8E" w:rsidR="00176266" w:rsidRPr="00176266" w:rsidRDefault="00CA4BCE" w:rsidP="00CA4BCE">
      <w:pPr>
        <w:numPr>
          <w:ilvl w:val="0"/>
          <w:numId w:val="6"/>
        </w:numPr>
        <w:ind w:left="-567" w:right="-1" w:firstLine="567"/>
        <w:jc w:val="both"/>
        <w:rPr>
          <w:rFonts w:ascii="Arial" w:eastAsia="Times New Roman" w:hAnsi="Arial" w:cs="Arial"/>
          <w:bCs/>
          <w:color w:val="000000" w:themeColor="text1"/>
          <w:kern w:val="0"/>
          <w:sz w:val="21"/>
          <w:szCs w:val="21"/>
          <w:lang w:eastAsia="ru-RU"/>
          <w14:ligatures w14:val="none"/>
        </w:rPr>
      </w:pPr>
      <w:r w:rsidRPr="00CA4BCE">
        <w:rPr>
          <w:rFonts w:ascii="Arial" w:eastAsia="Times New Roman" w:hAnsi="Arial" w:cs="Arial"/>
          <w:bCs/>
          <w:color w:val="000000" w:themeColor="text1"/>
          <w:kern w:val="0"/>
          <w:sz w:val="21"/>
          <w:szCs w:val="21"/>
          <w:lang w:eastAsia="ru-RU"/>
          <w14:ligatures w14:val="none"/>
        </w:rPr>
        <w:t>Европейский союз. Директива 2014/94/ЕС о развертывании инфраструктуры для альтернативных видов топлива // Официальный журнал Европейского союза. — L 307. — 28.10.2014.</w:t>
      </w:r>
    </w:p>
    <w:p w14:paraId="2BA0A60B" w14:textId="77777777" w:rsidR="00176266" w:rsidRDefault="00176266" w:rsidP="00D8705D">
      <w:pPr>
        <w:widowControl w:val="0"/>
        <w:autoSpaceDE w:val="0"/>
        <w:autoSpaceDN w:val="0"/>
        <w:spacing w:after="0" w:line="240" w:lineRule="auto"/>
        <w:jc w:val="center"/>
        <w:rPr>
          <w:rFonts w:ascii="Arial" w:eastAsia="Arial" w:hAnsi="Arial" w:cs="Arial"/>
          <w:b/>
          <w:kern w:val="0"/>
          <w:sz w:val="20"/>
          <w14:ligatures w14:val="none"/>
        </w:rPr>
      </w:pPr>
      <w:r w:rsidRPr="00176266">
        <w:rPr>
          <w:rFonts w:ascii="Arial" w:eastAsia="Arial" w:hAnsi="Arial" w:cs="Arial"/>
          <w:b/>
          <w:kern w:val="0"/>
          <w:sz w:val="20"/>
          <w14:ligatures w14:val="none"/>
        </w:rPr>
        <w:t xml:space="preserve">Сведения об авторах / Information </w:t>
      </w:r>
      <w:proofErr w:type="spellStart"/>
      <w:r w:rsidRPr="00176266">
        <w:rPr>
          <w:rFonts w:ascii="Arial" w:eastAsia="Arial" w:hAnsi="Arial" w:cs="Arial"/>
          <w:b/>
          <w:kern w:val="0"/>
          <w:sz w:val="20"/>
          <w14:ligatures w14:val="none"/>
        </w:rPr>
        <w:t>about</w:t>
      </w:r>
      <w:proofErr w:type="spellEnd"/>
      <w:r w:rsidRPr="00176266">
        <w:rPr>
          <w:rFonts w:ascii="Arial" w:eastAsia="Arial" w:hAnsi="Arial" w:cs="Arial"/>
          <w:b/>
          <w:kern w:val="0"/>
          <w:sz w:val="20"/>
          <w14:ligatures w14:val="none"/>
        </w:rPr>
        <w:t xml:space="preserve"> </w:t>
      </w:r>
      <w:proofErr w:type="spellStart"/>
      <w:r w:rsidRPr="00176266">
        <w:rPr>
          <w:rFonts w:ascii="Arial" w:eastAsia="Arial" w:hAnsi="Arial" w:cs="Arial"/>
          <w:b/>
          <w:kern w:val="0"/>
          <w:sz w:val="20"/>
          <w14:ligatures w14:val="none"/>
        </w:rPr>
        <w:t>the</w:t>
      </w:r>
      <w:proofErr w:type="spellEnd"/>
      <w:r w:rsidRPr="00176266">
        <w:rPr>
          <w:rFonts w:ascii="Arial" w:eastAsia="Arial" w:hAnsi="Arial" w:cs="Arial"/>
          <w:b/>
          <w:kern w:val="0"/>
          <w:sz w:val="20"/>
          <w14:ligatures w14:val="none"/>
        </w:rPr>
        <w:t xml:space="preserve"> </w:t>
      </w:r>
      <w:proofErr w:type="spellStart"/>
      <w:r w:rsidRPr="00176266">
        <w:rPr>
          <w:rFonts w:ascii="Arial" w:eastAsia="Arial" w:hAnsi="Arial" w:cs="Arial"/>
          <w:b/>
          <w:kern w:val="0"/>
          <w:sz w:val="20"/>
          <w14:ligatures w14:val="none"/>
        </w:rPr>
        <w:t>Authors</w:t>
      </w:r>
      <w:proofErr w:type="spellEnd"/>
    </w:p>
    <w:p w14:paraId="647D16EA" w14:textId="77777777" w:rsidR="00D8705D" w:rsidRPr="00176266" w:rsidRDefault="00D8705D" w:rsidP="00D8705D">
      <w:pPr>
        <w:widowControl w:val="0"/>
        <w:autoSpaceDE w:val="0"/>
        <w:autoSpaceDN w:val="0"/>
        <w:spacing w:after="0" w:line="240" w:lineRule="auto"/>
        <w:jc w:val="center"/>
        <w:rPr>
          <w:rFonts w:ascii="Arial" w:eastAsia="Arial" w:hAnsi="Arial" w:cs="Arial"/>
          <w:b/>
          <w:kern w:val="0"/>
          <w:sz w:val="20"/>
          <w14:ligatures w14:val="none"/>
        </w:rPr>
      </w:pPr>
    </w:p>
    <w:p w14:paraId="7BEB3CEA" w14:textId="5D5A44CF" w:rsidR="00D8705D" w:rsidRPr="00810EB3" w:rsidRDefault="00D8705D" w:rsidP="00D8705D">
      <w:pPr>
        <w:widowControl w:val="0"/>
        <w:autoSpaceDE w:val="0"/>
        <w:autoSpaceDN w:val="0"/>
        <w:spacing w:after="0" w:line="240" w:lineRule="auto"/>
        <w:ind w:left="-567"/>
        <w:rPr>
          <w:rFonts w:ascii="Arial" w:eastAsia="Arial" w:hAnsi="Arial" w:cs="Arial"/>
          <w:b/>
          <w:sz w:val="20"/>
        </w:rPr>
      </w:pPr>
      <w:r>
        <w:rPr>
          <w:rFonts w:ascii="Arial" w:eastAsia="Arial" w:hAnsi="Arial" w:cs="Arial"/>
          <w:b/>
          <w:sz w:val="20"/>
        </w:rPr>
        <w:t>Ламуев Павел Александрович</w:t>
      </w:r>
      <w:r w:rsidRPr="00810EB3">
        <w:rPr>
          <w:rFonts w:ascii="Arial" w:eastAsia="Arial" w:hAnsi="Arial" w:cs="Arial"/>
          <w:b/>
          <w:sz w:val="20"/>
        </w:rPr>
        <w:t>,</w:t>
      </w:r>
    </w:p>
    <w:p w14:paraId="0A8CC576" w14:textId="77777777" w:rsidR="00D8705D" w:rsidRPr="00810EB3" w:rsidRDefault="00D8705D" w:rsidP="00D8705D">
      <w:pPr>
        <w:widowControl w:val="0"/>
        <w:autoSpaceDE w:val="0"/>
        <w:autoSpaceDN w:val="0"/>
        <w:spacing w:after="0" w:line="240" w:lineRule="auto"/>
        <w:ind w:left="-567"/>
        <w:rPr>
          <w:rFonts w:ascii="Arial" w:eastAsia="Arial" w:hAnsi="Arial" w:cs="Arial"/>
          <w:sz w:val="20"/>
        </w:rPr>
      </w:pPr>
      <w:r>
        <w:rPr>
          <w:rFonts w:ascii="Arial" w:eastAsia="Arial" w:hAnsi="Arial" w:cs="Arial"/>
          <w:sz w:val="20"/>
        </w:rPr>
        <w:t>студент</w:t>
      </w:r>
      <w:r w:rsidRPr="00810EB3">
        <w:rPr>
          <w:rFonts w:ascii="Arial" w:eastAsia="Arial" w:hAnsi="Arial" w:cs="Arial"/>
          <w:sz w:val="20"/>
        </w:rPr>
        <w:t xml:space="preserve"> группы </w:t>
      </w:r>
      <w:r>
        <w:rPr>
          <w:rFonts w:ascii="Arial" w:eastAsia="Arial" w:hAnsi="Arial" w:cs="Arial"/>
          <w:sz w:val="20"/>
        </w:rPr>
        <w:t>АД-22-1</w:t>
      </w:r>
      <w:r w:rsidRPr="00810EB3">
        <w:rPr>
          <w:rFonts w:ascii="Arial" w:eastAsia="Arial" w:hAnsi="Arial" w:cs="Arial"/>
          <w:sz w:val="20"/>
        </w:rPr>
        <w:t>,</w:t>
      </w:r>
    </w:p>
    <w:p w14:paraId="557FFB6F" w14:textId="77777777" w:rsidR="00D8705D" w:rsidRPr="00810EB3" w:rsidRDefault="00D8705D" w:rsidP="00D8705D">
      <w:pPr>
        <w:widowControl w:val="0"/>
        <w:autoSpaceDE w:val="0"/>
        <w:autoSpaceDN w:val="0"/>
        <w:spacing w:after="0" w:line="240" w:lineRule="auto"/>
        <w:ind w:left="-567"/>
        <w:rPr>
          <w:rFonts w:ascii="Arial" w:eastAsia="Arial" w:hAnsi="Arial" w:cs="Arial"/>
          <w:sz w:val="20"/>
        </w:rPr>
      </w:pPr>
      <w:r w:rsidRPr="00810EB3">
        <w:rPr>
          <w:rFonts w:ascii="Arial" w:eastAsia="Arial" w:hAnsi="Arial" w:cs="Arial"/>
          <w:sz w:val="20"/>
        </w:rPr>
        <w:t>Институт архитектуры, строительства и дизайна,</w:t>
      </w:r>
    </w:p>
    <w:p w14:paraId="29DDBAAD" w14:textId="77777777" w:rsidR="00D8705D" w:rsidRPr="00486CB6" w:rsidRDefault="00D8705D" w:rsidP="00D8705D">
      <w:pPr>
        <w:widowControl w:val="0"/>
        <w:autoSpaceDE w:val="0"/>
        <w:autoSpaceDN w:val="0"/>
        <w:spacing w:after="0" w:line="240" w:lineRule="auto"/>
        <w:ind w:left="-567"/>
        <w:rPr>
          <w:rFonts w:ascii="Arial" w:eastAsia="Arial" w:hAnsi="Arial" w:cs="Arial"/>
          <w:sz w:val="20"/>
        </w:rPr>
      </w:pPr>
      <w:r w:rsidRPr="00810EB3">
        <w:rPr>
          <w:rFonts w:ascii="Arial" w:eastAsia="Arial" w:hAnsi="Arial" w:cs="Arial"/>
          <w:sz w:val="20"/>
        </w:rPr>
        <w:t xml:space="preserve">Иркутский национальный исследовательский технический университет, </w:t>
      </w:r>
    </w:p>
    <w:p w14:paraId="3A4F4129" w14:textId="77777777" w:rsidR="00D8705D" w:rsidRPr="00810EB3" w:rsidRDefault="00D8705D" w:rsidP="00D8705D">
      <w:pPr>
        <w:widowControl w:val="0"/>
        <w:autoSpaceDE w:val="0"/>
        <w:autoSpaceDN w:val="0"/>
        <w:spacing w:after="0" w:line="240" w:lineRule="auto"/>
        <w:ind w:left="-567"/>
        <w:rPr>
          <w:rFonts w:ascii="Arial" w:eastAsia="Arial" w:hAnsi="Arial" w:cs="Arial"/>
          <w:sz w:val="20"/>
        </w:rPr>
      </w:pPr>
      <w:r w:rsidRPr="00810EB3">
        <w:rPr>
          <w:rFonts w:ascii="Arial" w:eastAsia="Arial" w:hAnsi="Arial" w:cs="Arial"/>
          <w:sz w:val="20"/>
        </w:rPr>
        <w:t>664074, г. Иркутск, ул. Лер</w:t>
      </w:r>
      <w:r>
        <w:rPr>
          <w:rFonts w:ascii="Arial" w:eastAsia="Arial" w:hAnsi="Arial" w:cs="Arial"/>
          <w:sz w:val="20"/>
        </w:rPr>
        <w:t>монтова, 83, Российская Федерация</w:t>
      </w:r>
      <w:r w:rsidRPr="00810EB3">
        <w:rPr>
          <w:rFonts w:ascii="Arial" w:eastAsia="Arial" w:hAnsi="Arial" w:cs="Arial"/>
          <w:sz w:val="20"/>
        </w:rPr>
        <w:t>,</w:t>
      </w:r>
    </w:p>
    <w:p w14:paraId="0D839239" w14:textId="5B0334A1" w:rsidR="00D8705D" w:rsidRPr="00D8705D" w:rsidRDefault="00D8705D" w:rsidP="00D8705D">
      <w:pPr>
        <w:widowControl w:val="0"/>
        <w:autoSpaceDE w:val="0"/>
        <w:autoSpaceDN w:val="0"/>
        <w:spacing w:after="0" w:line="240" w:lineRule="auto"/>
        <w:ind w:left="-567"/>
        <w:rPr>
          <w:rFonts w:ascii="Arial" w:eastAsia="Arial" w:hAnsi="Arial" w:cs="Arial"/>
          <w:sz w:val="20"/>
          <w:lang w:val="en-GB"/>
        </w:rPr>
      </w:pPr>
      <w:r w:rsidRPr="00810EB3">
        <w:rPr>
          <w:rFonts w:ascii="Arial" w:eastAsia="Arial" w:hAnsi="Arial" w:cs="Arial"/>
          <w:sz w:val="20"/>
          <w:lang w:val="en-US"/>
        </w:rPr>
        <w:t>e</w:t>
      </w:r>
      <w:r w:rsidRPr="00FA237F">
        <w:rPr>
          <w:rFonts w:ascii="Arial" w:eastAsia="Arial" w:hAnsi="Arial" w:cs="Arial"/>
          <w:sz w:val="20"/>
          <w:lang w:val="en-US"/>
        </w:rPr>
        <w:t>-</w:t>
      </w:r>
      <w:r w:rsidRPr="00810EB3">
        <w:rPr>
          <w:rFonts w:ascii="Arial" w:eastAsia="Arial" w:hAnsi="Arial" w:cs="Arial"/>
          <w:sz w:val="20"/>
          <w:lang w:val="en-US"/>
        </w:rPr>
        <w:t>mail</w:t>
      </w:r>
      <w:r w:rsidRPr="00FA237F">
        <w:rPr>
          <w:rFonts w:ascii="Arial" w:eastAsia="Arial" w:hAnsi="Arial" w:cs="Arial"/>
          <w:sz w:val="20"/>
          <w:lang w:val="en-US"/>
        </w:rPr>
        <w:t>:</w:t>
      </w:r>
      <w:r w:rsidRPr="00D8705D">
        <w:rPr>
          <w:rFonts w:ascii="Arial" w:eastAsia="Arial" w:hAnsi="Arial" w:cs="Arial"/>
          <w:sz w:val="20"/>
          <w:lang w:val="en-GB"/>
        </w:rPr>
        <w:t xml:space="preserve"> </w:t>
      </w:r>
      <w:r>
        <w:rPr>
          <w:rFonts w:ascii="Arial" w:eastAsia="Arial" w:hAnsi="Arial" w:cs="Arial"/>
          <w:sz w:val="20"/>
          <w:lang w:val="en-GB"/>
        </w:rPr>
        <w:t>plamuev2@gmail.com</w:t>
      </w:r>
    </w:p>
    <w:p w14:paraId="33E754F8" w14:textId="5D7B9F9E" w:rsidR="00D8705D" w:rsidRPr="00486CB6" w:rsidRDefault="00D8705D" w:rsidP="00D8705D">
      <w:pPr>
        <w:widowControl w:val="0"/>
        <w:autoSpaceDE w:val="0"/>
        <w:autoSpaceDN w:val="0"/>
        <w:spacing w:after="0" w:line="240" w:lineRule="auto"/>
        <w:ind w:left="-567"/>
        <w:rPr>
          <w:rFonts w:ascii="Arial" w:eastAsia="Arial" w:hAnsi="Arial" w:cs="Arial"/>
          <w:b/>
          <w:sz w:val="20"/>
          <w:lang w:val="en-US"/>
        </w:rPr>
      </w:pPr>
      <w:r>
        <w:rPr>
          <w:rFonts w:ascii="Arial" w:eastAsia="Arial" w:hAnsi="Arial" w:cs="Arial"/>
          <w:b/>
          <w:sz w:val="20"/>
          <w:lang w:val="en-US"/>
        </w:rPr>
        <w:t>Pavel</w:t>
      </w:r>
      <w:r w:rsidRPr="00486CB6">
        <w:rPr>
          <w:rFonts w:ascii="Arial" w:eastAsia="Arial" w:hAnsi="Arial" w:cs="Arial"/>
          <w:b/>
          <w:sz w:val="20"/>
          <w:lang w:val="en-US"/>
        </w:rPr>
        <w:t xml:space="preserve"> </w:t>
      </w:r>
      <w:r>
        <w:rPr>
          <w:rFonts w:ascii="Arial" w:eastAsia="Arial" w:hAnsi="Arial" w:cs="Arial"/>
          <w:b/>
          <w:sz w:val="20"/>
          <w:lang w:val="en-US"/>
        </w:rPr>
        <w:t>A</w:t>
      </w:r>
      <w:r w:rsidRPr="00486CB6">
        <w:rPr>
          <w:rFonts w:ascii="Arial" w:eastAsia="Arial" w:hAnsi="Arial" w:cs="Arial"/>
          <w:b/>
          <w:sz w:val="20"/>
          <w:lang w:val="en-US"/>
        </w:rPr>
        <w:t xml:space="preserve">. </w:t>
      </w:r>
      <w:r>
        <w:rPr>
          <w:rFonts w:ascii="Arial" w:eastAsia="Arial" w:hAnsi="Arial" w:cs="Arial"/>
          <w:b/>
          <w:sz w:val="20"/>
          <w:lang w:val="en-US"/>
        </w:rPr>
        <w:t>Lamuev</w:t>
      </w:r>
      <w:r w:rsidRPr="00486CB6">
        <w:rPr>
          <w:rFonts w:ascii="Arial" w:eastAsia="Arial" w:hAnsi="Arial" w:cs="Arial"/>
          <w:b/>
          <w:sz w:val="20"/>
          <w:lang w:val="en-US"/>
        </w:rPr>
        <w:t>,</w:t>
      </w:r>
    </w:p>
    <w:p w14:paraId="4CB36C0F" w14:textId="77777777" w:rsidR="00D8705D" w:rsidRPr="00810EB3" w:rsidRDefault="00D8705D" w:rsidP="00D8705D">
      <w:pPr>
        <w:widowControl w:val="0"/>
        <w:autoSpaceDE w:val="0"/>
        <w:autoSpaceDN w:val="0"/>
        <w:spacing w:after="0" w:line="240" w:lineRule="auto"/>
        <w:ind w:left="-567"/>
        <w:rPr>
          <w:rFonts w:ascii="Arial" w:eastAsia="Arial" w:hAnsi="Arial" w:cs="Arial"/>
          <w:sz w:val="20"/>
          <w:lang w:val="en-US"/>
        </w:rPr>
      </w:pPr>
      <w:r w:rsidRPr="00810EB3">
        <w:rPr>
          <w:rFonts w:ascii="Arial" w:eastAsia="Arial" w:hAnsi="Arial" w:cs="Arial"/>
          <w:sz w:val="20"/>
          <w:lang w:val="en-US"/>
        </w:rPr>
        <w:t>Student,</w:t>
      </w:r>
    </w:p>
    <w:p w14:paraId="1A455D9C" w14:textId="77777777" w:rsidR="00D8705D" w:rsidRPr="00486CB6" w:rsidRDefault="00D8705D" w:rsidP="00D8705D">
      <w:pPr>
        <w:widowControl w:val="0"/>
        <w:autoSpaceDE w:val="0"/>
        <w:autoSpaceDN w:val="0"/>
        <w:spacing w:after="0" w:line="240" w:lineRule="auto"/>
        <w:ind w:left="-567"/>
        <w:jc w:val="both"/>
        <w:rPr>
          <w:rFonts w:ascii="Arial" w:eastAsia="Arial" w:hAnsi="Arial" w:cs="Arial"/>
          <w:sz w:val="20"/>
          <w:lang w:val="en-US"/>
        </w:rPr>
      </w:pPr>
      <w:r w:rsidRPr="00810EB3">
        <w:rPr>
          <w:rFonts w:ascii="Arial" w:eastAsia="Arial" w:hAnsi="Arial" w:cs="Arial"/>
          <w:sz w:val="20"/>
          <w:lang w:val="en-US"/>
        </w:rPr>
        <w:t xml:space="preserve">Architecture, Construction and Design Institute, </w:t>
      </w:r>
    </w:p>
    <w:p w14:paraId="7224DB32" w14:textId="77777777" w:rsidR="00D8705D" w:rsidRPr="00AE48B8" w:rsidRDefault="00D8705D" w:rsidP="00D8705D">
      <w:pPr>
        <w:widowControl w:val="0"/>
        <w:autoSpaceDE w:val="0"/>
        <w:autoSpaceDN w:val="0"/>
        <w:spacing w:after="0" w:line="240" w:lineRule="auto"/>
        <w:ind w:left="-567"/>
        <w:jc w:val="both"/>
        <w:rPr>
          <w:rFonts w:ascii="Arial" w:eastAsia="Arial" w:hAnsi="Arial" w:cs="Arial"/>
          <w:sz w:val="20"/>
          <w:lang w:val="en-US"/>
        </w:rPr>
      </w:pPr>
      <w:r w:rsidRPr="00810EB3">
        <w:rPr>
          <w:rFonts w:ascii="Arial" w:eastAsia="Arial" w:hAnsi="Arial" w:cs="Arial"/>
          <w:sz w:val="20"/>
          <w:lang w:val="en-US"/>
        </w:rPr>
        <w:t xml:space="preserve">Irkutsk National Research Technical University, </w:t>
      </w:r>
    </w:p>
    <w:p w14:paraId="0AFA0FD8" w14:textId="77777777" w:rsidR="00D8705D" w:rsidRPr="00810EB3" w:rsidRDefault="00D8705D" w:rsidP="00D8705D">
      <w:pPr>
        <w:widowControl w:val="0"/>
        <w:autoSpaceDE w:val="0"/>
        <w:autoSpaceDN w:val="0"/>
        <w:spacing w:after="0" w:line="240" w:lineRule="auto"/>
        <w:ind w:left="-567"/>
        <w:jc w:val="both"/>
        <w:rPr>
          <w:rFonts w:ascii="Arial" w:eastAsia="Arial" w:hAnsi="Arial" w:cs="Arial"/>
          <w:sz w:val="20"/>
          <w:lang w:val="en-US"/>
        </w:rPr>
      </w:pPr>
      <w:r w:rsidRPr="00810EB3">
        <w:rPr>
          <w:rFonts w:ascii="Arial" w:eastAsia="Arial" w:hAnsi="Arial" w:cs="Arial"/>
          <w:sz w:val="20"/>
          <w:lang w:val="en-US"/>
        </w:rPr>
        <w:t xml:space="preserve">83 Lermontov St., Irkutsk 664074, </w:t>
      </w:r>
      <w:r w:rsidRPr="00AE48B8">
        <w:rPr>
          <w:rFonts w:ascii="Arial" w:eastAsia="Arial" w:hAnsi="Arial" w:cs="Arial"/>
          <w:sz w:val="20"/>
          <w:lang w:val="en-US"/>
        </w:rPr>
        <w:t>Russian Federation</w:t>
      </w:r>
      <w:r w:rsidRPr="00810EB3">
        <w:rPr>
          <w:rFonts w:ascii="Arial" w:eastAsia="Arial" w:hAnsi="Arial" w:cs="Arial"/>
          <w:sz w:val="20"/>
          <w:lang w:val="en-US"/>
        </w:rPr>
        <w:t>,</w:t>
      </w:r>
    </w:p>
    <w:p w14:paraId="363E7C8E" w14:textId="520C26A5" w:rsidR="00D8705D" w:rsidRDefault="00D8705D" w:rsidP="00D8705D">
      <w:pPr>
        <w:widowControl w:val="0"/>
        <w:autoSpaceDE w:val="0"/>
        <w:autoSpaceDN w:val="0"/>
        <w:spacing w:after="0" w:line="240" w:lineRule="auto"/>
        <w:ind w:left="-567"/>
        <w:rPr>
          <w:rFonts w:ascii="Arial" w:eastAsia="Arial" w:hAnsi="Arial" w:cs="Arial"/>
          <w:sz w:val="20"/>
          <w:lang w:val="en-US"/>
        </w:rPr>
      </w:pPr>
      <w:r w:rsidRPr="00810EB3">
        <w:rPr>
          <w:rFonts w:ascii="Arial" w:eastAsia="Arial" w:hAnsi="Arial" w:cs="Arial"/>
          <w:sz w:val="20"/>
          <w:lang w:val="en-US"/>
        </w:rPr>
        <w:t xml:space="preserve">e-mail: </w:t>
      </w:r>
      <w:r>
        <w:rPr>
          <w:rFonts w:ascii="Arial" w:eastAsia="Arial" w:hAnsi="Arial" w:cs="Arial"/>
          <w:sz w:val="20"/>
          <w:lang w:val="en-GB"/>
        </w:rPr>
        <w:t>plamuev2@gmail.com</w:t>
      </w:r>
    </w:p>
    <w:p w14:paraId="67EBAA0C" w14:textId="77777777" w:rsidR="00C830AB" w:rsidRPr="00D8705D" w:rsidRDefault="00C830AB">
      <w:pPr>
        <w:rPr>
          <w:lang w:val="en-GB"/>
        </w:rPr>
      </w:pPr>
    </w:p>
    <w:sectPr w:rsidR="00C830AB" w:rsidRPr="00D870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42E83"/>
    <w:multiLevelType w:val="multilevel"/>
    <w:tmpl w:val="3AF66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804911"/>
    <w:multiLevelType w:val="multilevel"/>
    <w:tmpl w:val="C70E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EA4C13"/>
    <w:multiLevelType w:val="multilevel"/>
    <w:tmpl w:val="7E46D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6B12832"/>
    <w:multiLevelType w:val="multilevel"/>
    <w:tmpl w:val="6B56527C"/>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4" w15:restartNumberingAfterBreak="0">
    <w:nsid w:val="4D5C118F"/>
    <w:multiLevelType w:val="multilevel"/>
    <w:tmpl w:val="A2B0C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012A5A"/>
    <w:multiLevelType w:val="multilevel"/>
    <w:tmpl w:val="0258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0532296">
    <w:abstractNumId w:val="2"/>
  </w:num>
  <w:num w:numId="2" w16cid:durableId="299504318">
    <w:abstractNumId w:val="0"/>
  </w:num>
  <w:num w:numId="3" w16cid:durableId="1829397686">
    <w:abstractNumId w:val="3"/>
  </w:num>
  <w:num w:numId="4" w16cid:durableId="1277833796">
    <w:abstractNumId w:val="5"/>
  </w:num>
  <w:num w:numId="5" w16cid:durableId="446893475">
    <w:abstractNumId w:val="1"/>
  </w:num>
  <w:num w:numId="6" w16cid:durableId="1535537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A52"/>
    <w:rsid w:val="00176266"/>
    <w:rsid w:val="003744EB"/>
    <w:rsid w:val="00740411"/>
    <w:rsid w:val="00C830AB"/>
    <w:rsid w:val="00C9262A"/>
    <w:rsid w:val="00CA4BCE"/>
    <w:rsid w:val="00D8705D"/>
    <w:rsid w:val="00E60A52"/>
    <w:rsid w:val="00EA0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EE9D2"/>
  <w15:chartTrackingRefBased/>
  <w15:docId w15:val="{25D44C40-EA11-4237-BBC6-6FB9A31D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60A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60A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60A5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60A5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60A5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60A5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60A5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60A5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60A5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0A5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60A5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60A5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60A5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60A5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60A5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60A52"/>
    <w:rPr>
      <w:rFonts w:eastAsiaTheme="majorEastAsia" w:cstheme="majorBidi"/>
      <w:color w:val="595959" w:themeColor="text1" w:themeTint="A6"/>
    </w:rPr>
  </w:style>
  <w:style w:type="character" w:customStyle="1" w:styleId="80">
    <w:name w:val="Заголовок 8 Знак"/>
    <w:basedOn w:val="a0"/>
    <w:link w:val="8"/>
    <w:uiPriority w:val="9"/>
    <w:semiHidden/>
    <w:rsid w:val="00E60A5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60A52"/>
    <w:rPr>
      <w:rFonts w:eastAsiaTheme="majorEastAsia" w:cstheme="majorBidi"/>
      <w:color w:val="272727" w:themeColor="text1" w:themeTint="D8"/>
    </w:rPr>
  </w:style>
  <w:style w:type="paragraph" w:styleId="a3">
    <w:name w:val="Title"/>
    <w:basedOn w:val="a"/>
    <w:next w:val="a"/>
    <w:link w:val="a4"/>
    <w:uiPriority w:val="10"/>
    <w:qFormat/>
    <w:rsid w:val="00E60A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60A5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60A5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60A5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60A52"/>
    <w:pPr>
      <w:spacing w:before="160"/>
      <w:jc w:val="center"/>
    </w:pPr>
    <w:rPr>
      <w:i/>
      <w:iCs/>
      <w:color w:val="404040" w:themeColor="text1" w:themeTint="BF"/>
    </w:rPr>
  </w:style>
  <w:style w:type="character" w:customStyle="1" w:styleId="22">
    <w:name w:val="Цитата 2 Знак"/>
    <w:basedOn w:val="a0"/>
    <w:link w:val="21"/>
    <w:uiPriority w:val="29"/>
    <w:rsid w:val="00E60A52"/>
    <w:rPr>
      <w:i/>
      <w:iCs/>
      <w:color w:val="404040" w:themeColor="text1" w:themeTint="BF"/>
    </w:rPr>
  </w:style>
  <w:style w:type="paragraph" w:styleId="a7">
    <w:name w:val="List Paragraph"/>
    <w:basedOn w:val="a"/>
    <w:uiPriority w:val="34"/>
    <w:qFormat/>
    <w:rsid w:val="00E60A52"/>
    <w:pPr>
      <w:ind w:left="720"/>
      <w:contextualSpacing/>
    </w:pPr>
  </w:style>
  <w:style w:type="character" w:styleId="a8">
    <w:name w:val="Intense Emphasis"/>
    <w:basedOn w:val="a0"/>
    <w:uiPriority w:val="21"/>
    <w:qFormat/>
    <w:rsid w:val="00E60A52"/>
    <w:rPr>
      <w:i/>
      <w:iCs/>
      <w:color w:val="0F4761" w:themeColor="accent1" w:themeShade="BF"/>
    </w:rPr>
  </w:style>
  <w:style w:type="paragraph" w:styleId="a9">
    <w:name w:val="Intense Quote"/>
    <w:basedOn w:val="a"/>
    <w:next w:val="a"/>
    <w:link w:val="aa"/>
    <w:uiPriority w:val="30"/>
    <w:qFormat/>
    <w:rsid w:val="00E60A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E60A52"/>
    <w:rPr>
      <w:i/>
      <w:iCs/>
      <w:color w:val="0F4761" w:themeColor="accent1" w:themeShade="BF"/>
    </w:rPr>
  </w:style>
  <w:style w:type="character" w:styleId="ab">
    <w:name w:val="Intense Reference"/>
    <w:basedOn w:val="a0"/>
    <w:uiPriority w:val="32"/>
    <w:qFormat/>
    <w:rsid w:val="00E60A52"/>
    <w:rPr>
      <w:b/>
      <w:bCs/>
      <w:smallCaps/>
      <w:color w:val="0F4761" w:themeColor="accent1" w:themeShade="BF"/>
      <w:spacing w:val="5"/>
    </w:rPr>
  </w:style>
  <w:style w:type="character" w:styleId="ac">
    <w:name w:val="Hyperlink"/>
    <w:basedOn w:val="a0"/>
    <w:uiPriority w:val="99"/>
    <w:unhideWhenUsed/>
    <w:rsid w:val="00176266"/>
    <w:rPr>
      <w:color w:val="467886" w:themeColor="hyperlink"/>
      <w:u w:val="single"/>
    </w:rPr>
  </w:style>
  <w:style w:type="character" w:styleId="ad">
    <w:name w:val="Unresolved Mention"/>
    <w:basedOn w:val="a0"/>
    <w:uiPriority w:val="99"/>
    <w:semiHidden/>
    <w:unhideWhenUsed/>
    <w:rsid w:val="00176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ckinsey.com/industries/automotive-and-assembly/our-insights/the-future-of-mobility-charging-ahead-with-electric-vehicle-infrastructur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1858</Words>
  <Characters>10593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Ламуев</dc:creator>
  <cp:keywords/>
  <dc:description/>
  <cp:lastModifiedBy>Павел Ламуев</cp:lastModifiedBy>
  <cp:revision>2</cp:revision>
  <dcterms:created xsi:type="dcterms:W3CDTF">2025-12-23T14:20:00Z</dcterms:created>
  <dcterms:modified xsi:type="dcterms:W3CDTF">2025-12-23T14:20:00Z</dcterms:modified>
</cp:coreProperties>
</file>