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4B5F59">
      <w:pPr>
        <w:pStyle w:val="1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      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>Гуменюк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А.Н.</w:t>
      </w:r>
    </w:p>
    <w:p w14:paraId="1335F885">
      <w:pPr>
        <w:pStyle w:val="12"/>
        <w:ind w:firstLine="708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01302C98">
      <w:pPr>
        <w:pStyle w:val="12"/>
        <w:ind w:firstLine="708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Дальневосточный филиал «Российского государственного университета правосудия имени В.М. Лебедева», г. Хабаровск, Россия.</w:t>
      </w:r>
    </w:p>
    <w:p w14:paraId="16B112BD">
      <w:pPr>
        <w:pStyle w:val="12"/>
        <w:ind w:firstLine="708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3F1F1132">
      <w:pPr>
        <w:pStyle w:val="12"/>
        <w:rPr>
          <w:rFonts w:ascii="Times New Roman" w:hAnsi="Times New Roman" w:eastAsia="Times New Roman" w:cs="Times New Roman"/>
          <w:color w:val="000000"/>
          <w:sz w:val="28"/>
          <w:szCs w:val="28"/>
        </w:rPr>
      </w:pPr>
    </w:p>
    <w:p w14:paraId="4E0D418A">
      <w:pPr>
        <w:pStyle w:val="12"/>
        <w:ind w:firstLine="284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  <w:t>Две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  <w:t xml:space="preserve"> модели власти Ивана Грозного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/>
        </w:rPr>
        <w:t>:</w:t>
      </w: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ru-RU"/>
        </w:rPr>
        <w:t xml:space="preserve"> созидание и террор</w:t>
      </w:r>
    </w:p>
    <w:p w14:paraId="41EE4B0D">
      <w:pPr>
        <w:pStyle w:val="12"/>
        <w:ind w:firstLine="284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</w:p>
    <w:p w14:paraId="4D88B36F">
      <w:pPr>
        <w:pStyle w:val="12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</w:p>
    <w:p w14:paraId="33A864E1">
      <w:pPr>
        <w:pStyle w:val="12"/>
        <w:spacing w:line="360" w:lineRule="auto"/>
        <w:ind w:firstLine="851"/>
        <w:jc w:val="both"/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>Аннотация: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/>
        </w:rPr>
        <w:t>В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 данной статье сравниваются два разных способа управления страной при царе Иване Грозном. Статья</w:t>
      </w:r>
      <w:r>
        <w:rPr>
          <w:rFonts w:hint="default" w:ascii="Times New Roman" w:hAnsi="Times New Roman" w:eastAsia="Times New Roman"/>
          <w:color w:val="000000"/>
          <w:sz w:val="28"/>
          <w:szCs w:val="28"/>
          <w:lang w:val="ru-RU"/>
        </w:rPr>
        <w:t xml:space="preserve"> последовательно раскрывает суть и механизмы первой, созидательной модели (1549–1560 гг.), связанной с деятельностью Избранной Рады. Эта модель была направлена на построение централизованного правового государства через системные реформы и идею симфонии власти царя с элитами. В противовес ей детально рассматривается вторая модель - террористическая (1565–1572 гг.), воплощённая в институте опричнины. Её целью стало утверждение ничем не ограниченной, сакральной власти монарха через насилие, физическое уничтожение политической элиты, разделение страны и идеологию перманентной измены.</w:t>
      </w:r>
    </w:p>
    <w:p w14:paraId="1E61057F">
      <w:pPr>
        <w:pStyle w:val="12"/>
        <w:spacing w:line="360" w:lineRule="auto"/>
        <w:ind w:firstLine="851"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Ключевые слова: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Избранная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рада,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Иван</w:t>
      </w:r>
      <w:r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  <w:t xml:space="preserve"> Грозный, самодержавие, централизация, опричнина, политический террор, государственные реформы, Смутное время.</w:t>
      </w:r>
    </w:p>
    <w:p w14:paraId="47FF32E5">
      <w:pPr>
        <w:pStyle w:val="12"/>
        <w:spacing w:line="360" w:lineRule="auto"/>
        <w:ind w:firstLine="851"/>
        <w:jc w:val="both"/>
        <w:rPr>
          <w:rFonts w:hint="default" w:ascii="Times New Roman" w:hAnsi="Times New Roman" w:cs="Times New Roman"/>
          <w:color w:val="000000"/>
          <w:sz w:val="28"/>
          <w:szCs w:val="28"/>
          <w:lang w:val="ru-RU"/>
        </w:rPr>
      </w:pPr>
    </w:p>
    <w:p w14:paraId="2715AE6B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</w:rPr>
        <w:t>Правление первого русского царя Ивана IV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color w:val="000000"/>
          <w:sz w:val="28"/>
          <w:szCs w:val="28"/>
        </w:rPr>
        <w:t>(1533-1584) навсегда осталось в истории как эпоха великих свершений и чудовищных трагедий.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В его царствовании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уместились периоды масштабных государственных реформ и периоды кровавого террора, направленные, казалось бы, на одну и ту же цель 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-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укрепление самодержавной власти. Однако при более глубоком анализе становится очевидно: в середине XVI века Россия стала полигоном для реализации двух взаимоисключающих моделей государственного управления 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-</w:t>
      </w:r>
      <w:r>
        <w:rPr>
          <w:rFonts w:hint="default" w:ascii="Times New Roman" w:hAnsi="Times New Roman"/>
          <w:color w:val="000000"/>
          <w:sz w:val="28"/>
          <w:szCs w:val="28"/>
        </w:rPr>
        <w:t xml:space="preserve"> созидательной и террористической. Их противостояние определило судьбу страны на столетия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вперёд</w:t>
      </w:r>
      <w:r>
        <w:rPr>
          <w:rFonts w:hint="default" w:ascii="Times New Roman" w:hAnsi="Times New Roman"/>
          <w:color w:val="000000"/>
          <w:sz w:val="28"/>
          <w:szCs w:val="28"/>
        </w:rPr>
        <w:t>.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 </w:t>
      </w:r>
    </w:p>
    <w:p w14:paraId="425357A3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Модель первая: Созидание через закон и реформу (1549–1560 гг.)</w:t>
      </w:r>
    </w:p>
    <w:p w14:paraId="11920A9D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5BBEDC77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После бурного детства, прошедшего под знаком боярских распрей, и символического акта принятия царского титула, молодой государь оказался окружен кружком деятельных советников, позже названных князем Андреем Курбским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“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Избранной радой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”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.</w:t>
      </w:r>
      <w:r>
        <w:rPr>
          <w:rStyle w:val="5"/>
          <w:rFonts w:hint="default" w:ascii="Times New Roman" w:hAnsi="Times New Roman"/>
          <w:color w:val="000000"/>
          <w:sz w:val="28"/>
          <w:szCs w:val="28"/>
          <w:lang w:val="ru-RU"/>
        </w:rPr>
        <w:footnoteReference w:id="0"/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В нее вошли царский исповедник Сильвестр, дворянин Алексей Адашев, митрополит Макарий, дипломат Иван Висковатый. Их совместная деятельность сформировала первую модель власти — созидательно-правовую.</w:t>
      </w:r>
    </w:p>
    <w:p w14:paraId="64D50B52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15904AD6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Идеологическим стержнем этой модели стала концепция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“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симфонии»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”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- гармоничного сотрудничества самодержца со всей землей (представителями аристократии, церкви, служилых людей) для общего блага. Царь виделся не как деспот, а как христианский государь, правящий по совету мудрых мужей ради всего Российского царства.</w:t>
      </w:r>
    </w:p>
    <w:p w14:paraId="41923257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1096B5DD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Конкретными проявлениями модели стали:</w:t>
      </w:r>
    </w:p>
    <w:p w14:paraId="4BCEEDB5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215F10F1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1. Институциональные реформы: Создание системы приказов -прообраза министерств, что заменило архаичную территориально-дворцовую систему управления.</w:t>
      </w:r>
    </w:p>
    <w:p w14:paraId="7D86360C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2. Судебная реформа: Принятие нового Судебника 1550 года, который унифицировал законодательство, ввел элементы выборного местного самоуправления (губные и земские старосты) и ограничил произвол наместников.</w:t>
      </w:r>
    </w:p>
    <w:p w14:paraId="4CF08A37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3. Создание сословно-представительского органа: Первый в истории России Земский собор (1549 г.) стал формой диалога власти с различными слоями населения.</w:t>
      </w:r>
    </w:p>
    <w:p w14:paraId="4483F63F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4. Военная реформа: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“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Уложение о службе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”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(1556 г.) упорядочило обязанности дворянства, связав размер земельного владения с количеством выставляемых воинов. Было создано постоянное стрелецкое войско.</w:t>
      </w:r>
    </w:p>
    <w:p w14:paraId="2681C4CF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5. Церковное и культурное созидание: Стоглавый собор (1551 г.) унифицировал обряды, усилил дисциплину духовенства. Шло масштабное строительство (собор Василия Блаженного), развивалось книгопечатание (Иван Фёдоров).</w:t>
      </w:r>
    </w:p>
    <w:p w14:paraId="458D2126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1CE00522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Эта модель, при всех ее противоречиях, была ориентирована на построение государства-института. Успехи были очевидны: покорение Казанского и Астраханского ханств, первые победы в Ливонской войне, внутренняя стабилизация. Однако к концу 1550-х годов она исчерпала себя в глазах царя.</w:t>
      </w:r>
    </w:p>
    <w:p w14:paraId="46A44F9E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5EF790DF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Кризис и разворот: Почему созидание показалось недостаточным?</w:t>
      </w:r>
    </w:p>
    <w:p w14:paraId="1649C78F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299BA697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Причины перехода ко второй модели коренились в личных и политических факторах:</w:t>
      </w:r>
    </w:p>
    <w:p w14:paraId="10FBC6D3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71D2092B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· Подозрения в измене: Болезнь 1553 года, во время которой часть элиты отказалась присягать малолетнему сыну Дмитрию, посеяла в царе неискоренимое недоверие к боярству.</w:t>
      </w:r>
      <w:r>
        <w:rPr>
          <w:rStyle w:val="5"/>
          <w:rFonts w:hint="default" w:ascii="Times New Roman" w:hAnsi="Times New Roman"/>
          <w:color w:val="000000"/>
          <w:sz w:val="28"/>
          <w:szCs w:val="28"/>
          <w:lang w:val="ru-RU"/>
        </w:rPr>
        <w:footnoteReference w:id="1"/>
      </w:r>
    </w:p>
    <w:p w14:paraId="26BC36BA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· Конфликт стратегий: Члены Избранной рады выступали за осторожную внешнюю политику на Юге (против Крыма) и компромисс в Ливонии. Иван IV жаждал тотальной победы.</w:t>
      </w:r>
    </w:p>
    <w:p w14:paraId="236566FC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· Жажда абсолютной власти: Медленные, компромиссные методы реформ стали раздражать царя, желавшего мгновенных результатов и безоговорочного подчинения.</w:t>
      </w:r>
    </w:p>
    <w:p w14:paraId="12574B8B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· Личная драма: Смерть горячо любимой царицы Анастасии Романовны в 1560 году, которую Иван приписал отравлению со стороны изменников - советников, стала последней каплей.</w:t>
      </w:r>
    </w:p>
    <w:p w14:paraId="40B73D2F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0E576BD1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Модель вторая: Террор как инструмент абсолютной власти (1565 - 1572 гг.)</w:t>
      </w:r>
    </w:p>
    <w:p w14:paraId="6DA90E40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5FAFC4B6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В 1565 году, инсценировав отречение и выдвинув условия для возвращения, Иван IV вводит опричнину. Это был не просто карательный орган, а целая альтернативная модель управления, основанная на терроре.</w:t>
      </w:r>
      <w:r>
        <w:rPr>
          <w:rStyle w:val="5"/>
          <w:rFonts w:hint="default" w:ascii="Times New Roman" w:hAnsi="Times New Roman"/>
          <w:color w:val="000000"/>
          <w:sz w:val="28"/>
          <w:szCs w:val="28"/>
          <w:lang w:val="ru-RU"/>
        </w:rPr>
        <w:footnoteReference w:id="2"/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Ее идеологической основой стала не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“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симфония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”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, а сакральное, почти мессианское право царя вершить суд над изменой без закона и совета. Страна делилась на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“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земщину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”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(управляемую Боярской думой по старым правилам) и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“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опричнину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 xml:space="preserve">” 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(личный удел государя с собственной армией, администрацией и столицей в Александровской слободе).</w:t>
      </w:r>
    </w:p>
    <w:p w14:paraId="669C5B82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6876B9C9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Ключевые инструменты этой модели:</w:t>
      </w:r>
    </w:p>
    <w:p w14:paraId="3FD4F390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3E329691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1. Физическое уничтожение элиты: Массовые казни, конфискации земель и имущества обрушились на княжеско-боярскую аристократию. Жертвами пали не только реальные или потенциальные оппоненты, но и десятки тысяч ни в чем не повинных людей (разгром Новгорода в 1570 г.).</w:t>
      </w:r>
    </w:p>
    <w:p w14:paraId="266592AA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2. Социальная инженерия через насилие: Истребление старой знати на опричных территориях и заселение их худородными дворянами-опричниками, лично преданными царю.</w:t>
      </w:r>
    </w:p>
    <w:p w14:paraId="00F8BD5C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3. Символика тотальной лояльности: Опричники, одевавшиеся в черное, носили у седла знаки метлы (выметать измену) и собачьей головы (выгрызать крамолу). Это был образ ордена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“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монахов-палачей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”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, служащих лишь воле государя.</w:t>
      </w:r>
    </w:p>
    <w:p w14:paraId="1C5C3DFB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4. Экономический грабеж: Конфискации и безнаказанный произвол опричников вели к разорению целых регионов, запустению пахотных земель (пустоши), что подорвало хозяйство страны.</w:t>
      </w:r>
    </w:p>
    <w:p w14:paraId="352FAD62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110D24C3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В этой модели государство переставало быть институтом, превращаясь в личную вотчину и инструмент мести самодержца. Закон был заменен произволом, диалог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-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молчаливым страхом.</w:t>
      </w:r>
    </w:p>
    <w:p w14:paraId="4DCF8F0E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0780579C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Итоги противостояния: почему террор проиграл?</w:t>
      </w:r>
    </w:p>
    <w:p w14:paraId="1E011A21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2FA714D7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На первый взгляд, вторая модель достигла своей цели: политическое влияние старой аристократии было сломлено, самодержавие укрепилось как никогда. Однако эта победа оказалась пирровой и стратегически проигрышной.</w:t>
      </w:r>
    </w:p>
    <w:p w14:paraId="2C038F8E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710C349A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· Политически: Была уничтожена не только оппозиция, но и значительная часть управленческого класса, что вызвало кризис управления.</w:t>
      </w:r>
    </w:p>
    <w:p w14:paraId="307558D5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· Экономически: Разорение центральных уездов, дисбаланс в землевладении и торговле привели страну на грань хозяйственной катастрофы.</w:t>
      </w:r>
    </w:p>
    <w:p w14:paraId="640023D9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· Социально: Были разрушены традиционные общественные связи и моральные устои, возведены в норму доносительство и жестокость.</w:t>
      </w:r>
    </w:p>
    <w:p w14:paraId="3C183AB1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>· Династически: Террор не пощадил и саму царскую семью (убийство наследника, царевича Ивана, в 1581 г.), сделав престолонаследие проблематичным.</w:t>
      </w:r>
    </w:p>
    <w:p w14:paraId="4990CFE5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637895A8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Созидательная модель Избранной рады, даже будучи незавершенной, укрепляла государство. Модель террора Опричнины укрепляла лишь личную власть царя, разрушая при этом само государство изнутри. Итогом стал не прочный фундамент для потомков, а глубокий системный кризис, который менее чем через три десятилетия после смерти Грозного вылился в страшную Смуту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-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прямое следствие ослабления всех социальных институтов, кроме харизмы одного правителя.</w:t>
      </w:r>
    </w:p>
    <w:p w14:paraId="4AA29C71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</w:p>
    <w:p w14:paraId="5E598E9E">
      <w:pPr>
        <w:pStyle w:val="12"/>
        <w:spacing w:line="360" w:lineRule="auto"/>
        <w:ind w:firstLine="851"/>
        <w:jc w:val="both"/>
        <w:rPr>
          <w:rFonts w:hint="default" w:ascii="Times New Roman" w:hAnsi="Times New Roman"/>
          <w:color w:val="000000"/>
          <w:sz w:val="28"/>
          <w:szCs w:val="28"/>
          <w:lang w:val="ru-RU"/>
        </w:rPr>
      </w:pP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Таким образом, две модели власти Ивана Грозного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-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это не последовательные этапы, а два взаимоисключающих ответа на вызовы времени. Трагический опыт XVI века показал, что террор, даже прикрытый высокой идеей, не может быть инструментом созидания. Он способен лишь крушить, а руины </w:t>
      </w:r>
      <w:r>
        <w:rPr>
          <w:rFonts w:hint="default" w:ascii="Times New Roman" w:hAnsi="Times New Roman"/>
          <w:color w:val="000000"/>
          <w:sz w:val="28"/>
          <w:szCs w:val="28"/>
          <w:lang w:val="en-US"/>
        </w:rPr>
        <w:t>-</w:t>
      </w:r>
      <w:r>
        <w:rPr>
          <w:rFonts w:hint="default" w:ascii="Times New Roman" w:hAnsi="Times New Roman"/>
          <w:color w:val="000000"/>
          <w:sz w:val="28"/>
          <w:szCs w:val="28"/>
          <w:lang w:val="ru-RU"/>
        </w:rPr>
        <w:t xml:space="preserve"> плохое основание для будущего. Этот урок истории остается актуальным для понимания природы власти и ее ответственности перед страной.</w:t>
      </w:r>
    </w:p>
    <w:p w14:paraId="1749C121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851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0908E882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p w14:paraId="214687F1">
      <w:pPr>
        <w:pStyle w:val="12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37FDCD5">
      <w:pPr>
        <w:pStyle w:val="12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CC343A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B6395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8CB4A1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B03FD3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8B1D66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477DA2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B77043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2319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62FB6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F9136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B74C2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193EFB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BD366D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6D9D0E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1F3452D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C5DFF6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BE9952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498BD7">
      <w:pPr>
        <w:spacing w:line="360" w:lineRule="auto"/>
        <w:ind w:firstLine="680"/>
        <w:jc w:val="both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2C7A831F">
      <w:pPr>
        <w:spacing w:line="360" w:lineRule="auto"/>
        <w:ind w:firstLine="680"/>
        <w:jc w:val="both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7775E341">
      <w:pPr>
        <w:spacing w:line="360" w:lineRule="auto"/>
        <w:ind w:firstLine="680"/>
        <w:jc w:val="both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2984A67B">
      <w:pPr>
        <w:spacing w:line="360" w:lineRule="auto"/>
        <w:ind w:firstLine="680"/>
        <w:jc w:val="both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280FDC66">
      <w:pPr>
        <w:spacing w:line="360" w:lineRule="auto"/>
        <w:ind w:firstLine="680"/>
        <w:jc w:val="both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77894414">
      <w:pPr>
        <w:spacing w:line="360" w:lineRule="auto"/>
        <w:ind w:firstLine="680"/>
        <w:jc w:val="both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</w:p>
    <w:p w14:paraId="3CA6F6C4">
      <w:pPr>
        <w:spacing w:line="360" w:lineRule="auto"/>
        <w:ind w:firstLine="140" w:firstLineChars="50"/>
        <w:jc w:val="both"/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 w:eastAsiaTheme="minorEastAsia"/>
          <w:b/>
          <w:sz w:val="28"/>
          <w:szCs w:val="28"/>
          <w:lang w:eastAsia="ru-RU"/>
        </w:rPr>
        <w:t>Список литературы:</w:t>
      </w:r>
    </w:p>
    <w:p w14:paraId="6A4A96AC">
      <w:pPr>
        <w:pStyle w:val="9"/>
        <w:numPr>
          <w:ilvl w:val="0"/>
          <w:numId w:val="1"/>
        </w:numPr>
        <w:spacing w:line="276" w:lineRule="auto"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А.С. Орлов, В.А. Георгиев, Н.Г. Георгиева, Т.А. Сивохина - История России ( 2004г ). - С. 52-60.</w:t>
      </w:r>
    </w:p>
    <w:p w14:paraId="53421894">
      <w:pPr>
        <w:pStyle w:val="9"/>
        <w:numPr>
          <w:numId w:val="0"/>
        </w:numPr>
        <w:spacing w:line="276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</w:p>
    <w:p w14:paraId="681420CE">
      <w:pPr>
        <w:pStyle w:val="9"/>
        <w:numPr>
          <w:ilvl w:val="0"/>
          <w:numId w:val="1"/>
        </w:numPr>
        <w:spacing w:line="276" w:lineRule="auto"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 xml:space="preserve">С.В. Бахрушин - Иван Грозный. Государственное издательство политической литературы ( 1945г ) - С. 20. </w:t>
      </w:r>
    </w:p>
    <w:p w14:paraId="6B442091">
      <w:pPr>
        <w:pStyle w:val="9"/>
        <w:numPr>
          <w:numId w:val="0"/>
        </w:numPr>
        <w:spacing w:line="276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</w:p>
    <w:p w14:paraId="334D1198">
      <w:pPr>
        <w:pStyle w:val="9"/>
        <w:numPr>
          <w:ilvl w:val="0"/>
          <w:numId w:val="1"/>
        </w:numPr>
        <w:spacing w:line="276" w:lineRule="auto"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Р.Г. Скрынников - Иван Грозный и его время ( 1962г ). - С. 30-36.</w:t>
      </w:r>
    </w:p>
    <w:p w14:paraId="7C0383AA">
      <w:pPr>
        <w:pStyle w:val="9"/>
        <w:numPr>
          <w:numId w:val="0"/>
        </w:numPr>
        <w:spacing w:line="276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</w:p>
    <w:p w14:paraId="66E0AC1F">
      <w:pPr>
        <w:pStyle w:val="9"/>
        <w:numPr>
          <w:ilvl w:val="0"/>
          <w:numId w:val="1"/>
        </w:numPr>
        <w:spacing w:line="276" w:lineRule="auto"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  <w:t>С.Ф. Платонов - Иван Грозный (1923г ). - С. 541.</w:t>
      </w:r>
    </w:p>
    <w:p w14:paraId="07250FE5">
      <w:pPr>
        <w:pStyle w:val="9"/>
        <w:numPr>
          <w:numId w:val="0"/>
        </w:numPr>
        <w:spacing w:line="276" w:lineRule="auto"/>
        <w:ind w:left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</w:p>
    <w:p w14:paraId="4BCEE23B">
      <w:pPr>
        <w:pStyle w:val="9"/>
        <w:numPr>
          <w:ilvl w:val="0"/>
          <w:numId w:val="1"/>
        </w:numPr>
        <w:spacing w:line="276" w:lineRule="auto"/>
        <w:ind w:left="425" w:leftChars="0" w:hanging="425" w:firstLineChars="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А.А. Зимин - Опричнина Ивана Грозного (1964). - С. 24.</w:t>
      </w:r>
    </w:p>
    <w:p w14:paraId="5C44EB36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hint="default" w:ascii="Times New Roman" w:hAnsi="Times New Roman" w:cs="Times New Roman" w:eastAsiaTheme="minorEastAsia"/>
          <w:b w:val="0"/>
          <w:bCs w:val="0"/>
          <w:i w:val="0"/>
          <w:iCs w:val="0"/>
          <w:color w:val="000000"/>
          <w:sz w:val="28"/>
          <w:szCs w:val="28"/>
          <w:lang w:eastAsia="ru-RU"/>
        </w:rPr>
      </w:pPr>
    </w:p>
    <w:p w14:paraId="36748694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/>
          <w:iCs/>
          <w:color w:val="000000"/>
          <w:sz w:val="28"/>
          <w:szCs w:val="28"/>
          <w:lang w:eastAsia="ru-RU"/>
        </w:rPr>
      </w:pPr>
    </w:p>
    <w:p w14:paraId="17F92575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59565769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0467E159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1159BFBB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23A3DCF2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6B6B1EB1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4CEC84BD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5FBD2726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5A1EDD9F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1E5B9B5D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3B5A99D4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7F948A03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0B348C78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67711A38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5A8CC243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35257AF8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72B2840D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35C661DD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381D949C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1D972EE0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59C74CC8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7AF6E3D1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78045BD3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6141261C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13E0F4D1">
      <w:pPr>
        <w:widowControl w:val="0"/>
        <w:autoSpaceDE w:val="0"/>
        <w:autoSpaceDN w:val="0"/>
        <w:adjustRightInd w:val="0"/>
        <w:spacing w:before="19" w:after="20"/>
        <w:jc w:val="both"/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</w:pPr>
    </w:p>
    <w:p w14:paraId="35788C5E">
      <w:pPr>
        <w:widowControl w:val="0"/>
        <w:autoSpaceDE w:val="0"/>
        <w:autoSpaceDN w:val="0"/>
        <w:adjustRightInd w:val="0"/>
        <w:spacing w:before="19" w:after="20"/>
        <w:jc w:val="both"/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  <w:t>Гуменюк</w:t>
      </w:r>
      <w:r>
        <w:rPr>
          <w:rFonts w:hint="default" w:ascii="Times New Roman" w:hAnsi="Times New Roman" w:cs="Times New Roman" w:eastAsiaTheme="minorEastAsia"/>
          <w:b/>
          <w:iCs/>
          <w:color w:val="000000"/>
          <w:sz w:val="28"/>
          <w:szCs w:val="28"/>
          <w:lang w:val="en-US" w:eastAsia="ru-RU"/>
        </w:rPr>
        <w:t xml:space="preserve"> Александр Николаевич</w:t>
      </w:r>
      <w:r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  <w:t>– студент Дальневосточного филиала Российского государственного университета, Хабаровск, Россия.</w:t>
      </w:r>
    </w:p>
    <w:p w14:paraId="4E7829CD">
      <w:pPr>
        <w:widowControl w:val="0"/>
        <w:autoSpaceDE w:val="0"/>
        <w:autoSpaceDN w:val="0"/>
        <w:adjustRightInd w:val="0"/>
        <w:spacing w:before="19" w:after="20"/>
        <w:ind w:firstLine="680"/>
        <w:jc w:val="both"/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 w:eastAsiaTheme="minorEastAsia"/>
          <w:b/>
          <w:iCs/>
          <w:color w:val="000000"/>
          <w:sz w:val="28"/>
          <w:szCs w:val="28"/>
          <w:lang w:eastAsia="ru-RU"/>
        </w:rPr>
        <w:t xml:space="preserve">Научный руководитель: Бучко Николай Петрович </w:t>
      </w:r>
      <w:r>
        <w:rPr>
          <w:rFonts w:ascii="Times New Roman" w:hAnsi="Times New Roman" w:cs="Times New Roman" w:eastAsiaTheme="minorEastAsia"/>
          <w:iCs/>
          <w:color w:val="000000"/>
          <w:sz w:val="28"/>
          <w:szCs w:val="28"/>
          <w:lang w:eastAsia="ru-RU"/>
        </w:rPr>
        <w:t>– заведующий кафедры государственных социально - экономических дисциплин Дальневосточного филиала Российского государственного университета, Хабаровск, Россия.</w:t>
      </w:r>
    </w:p>
    <w:p w14:paraId="4C2F6A0E">
      <w:pPr>
        <w:pStyle w:val="14"/>
        <w:ind w:left="1040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</w:p>
    <w:p w14:paraId="65A1C67C">
      <w:pPr>
        <w:pStyle w:val="14"/>
        <w:ind w:left="1040"/>
        <w:jc w:val="both"/>
        <w:rPr>
          <w:rFonts w:ascii="Times New Roman" w:hAnsi="Times New Roman" w:cs="Times New Roman" w:eastAsiaTheme="minorEastAsia"/>
          <w:sz w:val="28"/>
          <w:szCs w:val="28"/>
          <w:lang w:eastAsia="ru-RU"/>
        </w:rPr>
      </w:pPr>
    </w:p>
    <w:p w14:paraId="62581DD4">
      <w:pPr>
        <w:pStyle w:val="14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Helvetica Neue">
    <w:altName w:val="Times New Roman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6">
    <w:p>
      <w:r>
        <w:separator/>
      </w:r>
    </w:p>
  </w:footnote>
  <w:footnote w:type="continuationSeparator" w:id="7">
    <w:p>
      <w:r>
        <w:continuationSeparator/>
      </w:r>
    </w:p>
  </w:footnote>
  <w:footnote w:id="0">
    <w:p w14:paraId="001BEB6C">
      <w:pPr>
        <w:pStyle w:val="9"/>
        <w:snapToGrid w:val="0"/>
        <w:rPr>
          <w:rFonts w:hint="default"/>
          <w:lang w:val="ru-RU"/>
        </w:rPr>
      </w:pPr>
      <w:r>
        <w:rPr>
          <w:rStyle w:val="5"/>
        </w:rPr>
        <w:footnoteRef/>
      </w:r>
      <w:r>
        <w:t xml:space="preserve"> </w:t>
      </w:r>
      <w:r>
        <w:rPr>
          <w:lang w:val="ru-RU"/>
        </w:rPr>
        <w:t>С</w:t>
      </w:r>
      <w:r>
        <w:rPr>
          <w:rFonts w:hint="default"/>
          <w:lang w:val="ru-RU"/>
        </w:rPr>
        <w:t>.В. Бахрушин - Иван Грозный. Государственное издательство политической литературы ( 1945г ) - С. 20. https://www.booksite.ru/fulltext/189021/text.pdf</w:t>
      </w:r>
    </w:p>
  </w:footnote>
  <w:footnote w:id="1">
    <w:p w14:paraId="674D41BC">
      <w:pPr>
        <w:pStyle w:val="9"/>
        <w:snapToGrid w:val="0"/>
        <w:rPr>
          <w:rFonts w:hint="default"/>
          <w:lang w:val="ru-RU"/>
        </w:rPr>
      </w:pPr>
      <w:r>
        <w:rPr>
          <w:rStyle w:val="5"/>
        </w:rPr>
        <w:footnoteRef/>
      </w:r>
      <w:r>
        <w:t xml:space="preserve"> </w:t>
      </w:r>
      <w:r>
        <w:rPr>
          <w:lang w:val="ru-RU"/>
        </w:rPr>
        <w:t>С</w:t>
      </w:r>
      <w:r>
        <w:rPr>
          <w:rFonts w:hint="default"/>
          <w:lang w:val="ru-RU"/>
        </w:rPr>
        <w:t>.Ф. Платонов - Иван Грозный ( 1923г ). - С. 541.</w:t>
      </w:r>
    </w:p>
    <w:p w14:paraId="35104FAD">
      <w:pPr>
        <w:pStyle w:val="9"/>
        <w:snapToGrid w:val="0"/>
        <w:rPr>
          <w:rFonts w:hint="default"/>
          <w:lang w:val="ru-RU"/>
        </w:rPr>
      </w:pPr>
    </w:p>
  </w:footnote>
  <w:footnote w:id="2">
    <w:p w14:paraId="17E932DC">
      <w:pPr>
        <w:pStyle w:val="9"/>
        <w:snapToGrid w:val="0"/>
        <w:rPr>
          <w:rFonts w:hint="default"/>
          <w:lang w:val="ru-RU"/>
        </w:rPr>
      </w:pPr>
      <w:r>
        <w:rPr>
          <w:rStyle w:val="5"/>
        </w:rPr>
        <w:footnoteRef/>
      </w:r>
      <w:r>
        <w:t xml:space="preserve"> </w:t>
      </w:r>
      <w:r>
        <w:rPr>
          <w:lang w:val="ru-RU"/>
        </w:rPr>
        <w:t>А</w:t>
      </w:r>
      <w:r>
        <w:rPr>
          <w:rFonts w:hint="default"/>
          <w:lang w:val="ru-RU"/>
        </w:rPr>
        <w:t>.А. Зимин - Опричнина Ивана Грозного (1964). - С. 24.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759C33"/>
    <w:multiLevelType w:val="singleLevel"/>
    <w:tmpl w:val="83759C33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6"/>
    <w:footnote w:id="7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ED"/>
    <w:rsid w:val="00083721"/>
    <w:rsid w:val="000D2429"/>
    <w:rsid w:val="00116220"/>
    <w:rsid w:val="001D2E0D"/>
    <w:rsid w:val="004025D8"/>
    <w:rsid w:val="005D7385"/>
    <w:rsid w:val="00647E42"/>
    <w:rsid w:val="007579A2"/>
    <w:rsid w:val="007904CE"/>
    <w:rsid w:val="00804ADB"/>
    <w:rsid w:val="00915881"/>
    <w:rsid w:val="009579A1"/>
    <w:rsid w:val="009758D9"/>
    <w:rsid w:val="00C84C13"/>
    <w:rsid w:val="00C96C2F"/>
    <w:rsid w:val="00EE559D"/>
    <w:rsid w:val="00EF0532"/>
    <w:rsid w:val="00F23B50"/>
    <w:rsid w:val="00FA41ED"/>
    <w:rsid w:val="143D2E3E"/>
    <w:rsid w:val="4AFB5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HAnsi" w:cstheme="minorBidi"/>
      <w:kern w:val="2"/>
      <w:sz w:val="24"/>
      <w:szCs w:val="24"/>
      <w:lang w:val="ru-RU" w:eastAsia="en-US" w:bidi="ar-SA"/>
      <w14:ligatures w14:val="standardContextual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footnote reference"/>
    <w:basedOn w:val="2"/>
    <w:semiHidden/>
    <w:unhideWhenUsed/>
    <w:uiPriority w:val="99"/>
    <w:rPr>
      <w:vertAlign w:val="superscript"/>
    </w:rPr>
  </w:style>
  <w:style w:type="character" w:styleId="6">
    <w:name w:val="endnote reference"/>
    <w:basedOn w:val="2"/>
    <w:semiHidden/>
    <w:unhideWhenUsed/>
    <w:uiPriority w:val="99"/>
    <w:rPr>
      <w:vertAlign w:val="superscript"/>
    </w:rPr>
  </w:style>
  <w:style w:type="character" w:styleId="7">
    <w:name w:val="Hyperlink"/>
    <w:basedOn w:val="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8">
    <w:name w:val="endnote text"/>
    <w:basedOn w:val="1"/>
    <w:semiHidden/>
    <w:unhideWhenUsed/>
    <w:uiPriority w:val="99"/>
    <w:pPr>
      <w:snapToGrid w:val="0"/>
      <w:jc w:val="left"/>
    </w:pPr>
  </w:style>
  <w:style w:type="paragraph" w:styleId="9">
    <w:name w:val="footnote text"/>
    <w:basedOn w:val="1"/>
    <w:link w:val="13"/>
    <w:unhideWhenUsed/>
    <w:uiPriority w:val="99"/>
    <w:rPr>
      <w:sz w:val="20"/>
      <w:szCs w:val="20"/>
    </w:rPr>
  </w:style>
  <w:style w:type="paragraph" w:styleId="10">
    <w:name w:val="head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11">
    <w:name w:val="footer"/>
    <w:basedOn w:val="1"/>
    <w:semiHidden/>
    <w:unhideWhenUsed/>
    <w:uiPriority w:val="99"/>
    <w:pPr>
      <w:tabs>
        <w:tab w:val="center" w:pos="4153"/>
        <w:tab w:val="right" w:pos="8306"/>
      </w:tabs>
    </w:pPr>
  </w:style>
  <w:style w:type="paragraph" w:styleId="12">
    <w:name w:val="No Spacing"/>
    <w:qFormat/>
    <w:uiPriority w:val="1"/>
    <w:rPr>
      <w:rFonts w:asciiTheme="minorHAnsi" w:hAnsiTheme="minorHAnsi" w:eastAsiaTheme="minorHAnsi" w:cstheme="minorBidi"/>
      <w:kern w:val="0"/>
      <w:sz w:val="22"/>
      <w:szCs w:val="22"/>
      <w:lang w:val="ru-RU" w:eastAsia="en-US" w:bidi="ar-SA"/>
      <w14:ligatures w14:val="none"/>
    </w:rPr>
  </w:style>
  <w:style w:type="character" w:customStyle="1" w:styleId="13">
    <w:name w:val="Текст сноски Знак"/>
    <w:basedOn w:val="2"/>
    <w:link w:val="9"/>
    <w:uiPriority w:val="99"/>
    <w:rPr>
      <w:sz w:val="20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84698AE-9CDC-DE47-8D87-014D7DE6DC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958</Words>
  <Characters>6511</Characters>
  <Lines>141</Lines>
  <Paragraphs>40</Paragraphs>
  <TotalTime>9</TotalTime>
  <ScaleCrop>false</ScaleCrop>
  <LinksUpToDate>false</LinksUpToDate>
  <CharactersWithSpaces>7429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2025-12-19T14:57:00Z</dcterms:created>
  <dc:creator>Microsoft Office User</dc:creator>
  <cp:lastModifiedBy>WPS_1763726164</cp:lastModifiedBy>
  <dcterms:modified xsi:type="dcterms:W3CDTF">2025-12-27T17:50:20Z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7F3CA59C30D142EFA24A3FECBABA33D7_13</vt:lpwstr>
  </property>
</Properties>
</file>