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D6DE2" w14:textId="77777777" w:rsidR="00F92898" w:rsidRPr="004C7032" w:rsidRDefault="00F92898" w:rsidP="004C703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032">
        <w:rPr>
          <w:rFonts w:ascii="Times New Roman" w:hAnsi="Times New Roman" w:cs="Times New Roman"/>
          <w:b/>
          <w:sz w:val="28"/>
          <w:szCs w:val="28"/>
        </w:rPr>
        <w:t>БЕЗОПАСНОСТЬ И ОЦЕНКА РИСКОВ В СИСТЕМЕ ЭКОНОМИЧЕСКОЙ БЕЗОПАСНОСТИ ПРЕДПРИЯТИЯ</w:t>
      </w:r>
    </w:p>
    <w:p w14:paraId="6EAD40D4" w14:textId="184F223A" w:rsidR="00F92898" w:rsidRPr="004C7032" w:rsidRDefault="004C7032" w:rsidP="004C7032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C7032">
        <w:rPr>
          <w:rFonts w:ascii="Times New Roman" w:hAnsi="Times New Roman" w:cs="Times New Roman"/>
          <w:b/>
          <w:i/>
          <w:sz w:val="28"/>
          <w:szCs w:val="28"/>
        </w:rPr>
        <w:t>Яркина Анастасия Анатольевна</w:t>
      </w:r>
    </w:p>
    <w:p w14:paraId="079CFB08" w14:textId="589C3F07" w:rsidR="00F92898" w:rsidRPr="004D1EB1" w:rsidRDefault="00F92898" w:rsidP="004D1EB1">
      <w:pPr>
        <w:spacing w:line="254" w:lineRule="auto"/>
        <w:jc w:val="right"/>
        <w:rPr>
          <w:rFonts w:ascii="Times New Roman" w:eastAsia="Calibri" w:hAnsi="Times New Roman" w:cs="Times New Roman"/>
          <w:i/>
          <w:sz w:val="28"/>
        </w:rPr>
      </w:pPr>
      <w:r w:rsidRPr="004D1EB1">
        <w:rPr>
          <w:rFonts w:ascii="Times New Roman" w:hAnsi="Times New Roman" w:cs="Times New Roman"/>
          <w:i/>
          <w:sz w:val="28"/>
          <w:szCs w:val="28"/>
        </w:rPr>
        <w:t>Студент</w:t>
      </w:r>
      <w:r w:rsidR="004C7032" w:rsidRPr="004D1EB1">
        <w:rPr>
          <w:rFonts w:ascii="Times New Roman" w:hAnsi="Times New Roman" w:cs="Times New Roman"/>
          <w:i/>
          <w:sz w:val="28"/>
          <w:szCs w:val="28"/>
        </w:rPr>
        <w:t>ка</w:t>
      </w:r>
      <w:r w:rsidR="004D1EB1" w:rsidRPr="004D1EB1">
        <w:rPr>
          <w:rFonts w:ascii="Times New Roman" w:hAnsi="Times New Roman" w:cs="Times New Roman"/>
          <w:i/>
          <w:sz w:val="28"/>
          <w:szCs w:val="28"/>
        </w:rPr>
        <w:t>,</w:t>
      </w:r>
      <w:r w:rsidR="004D1EB1" w:rsidRPr="004D1EB1">
        <w:rPr>
          <w:rFonts w:ascii="Times New Roman" w:eastAsia="Calibri" w:hAnsi="Times New Roman" w:cs="Times New Roman"/>
          <w:i/>
          <w:sz w:val="28"/>
        </w:rPr>
        <w:t xml:space="preserve"> </w:t>
      </w:r>
      <w:r w:rsidR="004D1EB1" w:rsidRPr="004D1EB1">
        <w:rPr>
          <w:rFonts w:ascii="Times New Roman" w:eastAsia="Calibri" w:hAnsi="Times New Roman" w:cs="Times New Roman"/>
          <w:i/>
          <w:sz w:val="28"/>
        </w:rPr>
        <w:t>САНКТ-ПЕТЕРБУРГСКИЙ ГОСУДАРСТВЕННЫЙ АРХИТЕКТУРНО-СТРОИТЕЛЬНЫЙ УНИВЕРСИТЕТ</w:t>
      </w:r>
      <w:r w:rsidR="004D1EB1" w:rsidRPr="004D1EB1">
        <w:rPr>
          <w:rFonts w:ascii="Times New Roman" w:eastAsia="Calibri" w:hAnsi="Times New Roman" w:cs="Times New Roman"/>
          <w:i/>
          <w:sz w:val="28"/>
        </w:rPr>
        <w:t>,</w:t>
      </w:r>
      <w:r w:rsidR="004D1EB1">
        <w:rPr>
          <w:rFonts w:ascii="Times New Roman" w:eastAsia="Calibri" w:hAnsi="Times New Roman" w:cs="Times New Roman"/>
          <w:i/>
          <w:sz w:val="28"/>
        </w:rPr>
        <w:t xml:space="preserve"> </w:t>
      </w:r>
      <w:r w:rsidRPr="004D1EB1">
        <w:rPr>
          <w:rFonts w:ascii="Times New Roman" w:hAnsi="Times New Roman" w:cs="Times New Roman"/>
          <w:i/>
          <w:sz w:val="28"/>
          <w:szCs w:val="28"/>
        </w:rPr>
        <w:t xml:space="preserve">Российская Федерация, г. </w:t>
      </w:r>
      <w:r w:rsidR="004C7032" w:rsidRPr="004D1EB1">
        <w:rPr>
          <w:rFonts w:ascii="Times New Roman" w:hAnsi="Times New Roman" w:cs="Times New Roman"/>
          <w:i/>
          <w:sz w:val="28"/>
          <w:szCs w:val="28"/>
        </w:rPr>
        <w:t>Санкт-Петербург</w:t>
      </w:r>
    </w:p>
    <w:p w14:paraId="2C5718AE" w14:textId="77777777" w:rsidR="00F92898" w:rsidRPr="004D1EB1" w:rsidRDefault="00F92898" w:rsidP="004C703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D1EB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14:paraId="245A9C96" w14:textId="77777777" w:rsidR="00F92898" w:rsidRPr="004C7032" w:rsidRDefault="00F92898" w:rsidP="004C70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7032">
        <w:rPr>
          <w:rFonts w:ascii="Times New Roman" w:hAnsi="Times New Roman" w:cs="Times New Roman"/>
          <w:sz w:val="28"/>
          <w:szCs w:val="28"/>
        </w:rPr>
        <w:t>В условиях глобализации, цифровизации и повышенной волатильности рынков экономическая безопасность предприятия перестает быть функцией исключительно финансовой или физической защиты, трансформируясь в комплексную стратегическую задачу. Ее ядром является системное управление рисками, направленное не только на минимизацию потенциальных ущербов, но и на создание условий для устойчивого развития и реализации конкурентных преимуществ. Безопасность в данном контексте – это не статичное состояние, а динамический процесс, обеспечиваемый непрерывным выявлением, анализом и контролем угроз. Таким образом, оценка рисков выступает ключевым инструментом и интеллектуальной основой для построения адекватной системы экономической безопасности любой современной организации. Цель данной статьи – исследовать взаимосвязь и содержание понятий «безопасность» и «оценка рисков» в экономическом контексте, проанализировать методологические подходы к риск-менеджменту и предложить практические аспекты интеграции процессов оценки рисков в систему экономической безопасности предприятия.</w:t>
      </w:r>
    </w:p>
    <w:p w14:paraId="4335E402" w14:textId="77777777" w:rsidR="00F92898" w:rsidRPr="004D1EB1" w:rsidRDefault="00F92898" w:rsidP="004C703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D1EB1">
        <w:rPr>
          <w:rFonts w:ascii="Times New Roman" w:hAnsi="Times New Roman" w:cs="Times New Roman"/>
          <w:b/>
          <w:sz w:val="28"/>
          <w:szCs w:val="28"/>
        </w:rPr>
        <w:t>1. Теоретические основы экономической безопасности и риск-менеджмента</w:t>
      </w:r>
    </w:p>
    <w:p w14:paraId="0578FF71" w14:textId="77777777" w:rsidR="00F92898" w:rsidRPr="004C7032" w:rsidRDefault="00F92898" w:rsidP="004C70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7032">
        <w:rPr>
          <w:rFonts w:ascii="Times New Roman" w:hAnsi="Times New Roman" w:cs="Times New Roman"/>
          <w:sz w:val="28"/>
          <w:szCs w:val="28"/>
        </w:rPr>
        <w:t xml:space="preserve">Экономическая безопасность предприятия (ЭБП) определяется как состояние защищенности жизненно важных интересов субъекта хозяйствования от внутренних и внешних угроз, обеспечивающее его устойчивое развитие и достижение стратегических целей [1, с. 45]. Структурно ЭБП включает в себя такие компоненты, как финансовая, кадровая, информационная, </w:t>
      </w:r>
      <w:r w:rsidRPr="004C7032">
        <w:rPr>
          <w:rFonts w:ascii="Times New Roman" w:hAnsi="Times New Roman" w:cs="Times New Roman"/>
          <w:sz w:val="28"/>
          <w:szCs w:val="28"/>
        </w:rPr>
        <w:lastRenderedPageBreak/>
        <w:t>технологическая, правовая и физическая безопасность. Каждый из этих элементов подвержен специфическим рискам.</w:t>
      </w:r>
    </w:p>
    <w:p w14:paraId="0DEC35F2" w14:textId="77777777" w:rsidR="00F92898" w:rsidRPr="004C7032" w:rsidRDefault="00F92898" w:rsidP="004C70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7032">
        <w:rPr>
          <w:rFonts w:ascii="Times New Roman" w:hAnsi="Times New Roman" w:cs="Times New Roman"/>
          <w:sz w:val="28"/>
          <w:szCs w:val="28"/>
        </w:rPr>
        <w:t>Риск в экономической безопасности – это вероятность возникновения события, которое может негативно повлиять на активы, процессы, репутацию или конкурентоспособность предприятия, приводя к финансовым, материальным или иным потерям. Оценка рисков – это систематический процесс выявления, анализа и ранжирования рисков с целью определения оптимальных методов управления ими: избегания, снижения, принятия или передачи.</w:t>
      </w:r>
    </w:p>
    <w:p w14:paraId="39DE389E" w14:textId="77777777" w:rsidR="00F92898" w:rsidRPr="004C7032" w:rsidRDefault="00F92898" w:rsidP="004C70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7032">
        <w:rPr>
          <w:rFonts w:ascii="Times New Roman" w:hAnsi="Times New Roman" w:cs="Times New Roman"/>
          <w:sz w:val="28"/>
          <w:szCs w:val="28"/>
        </w:rPr>
        <w:t xml:space="preserve">Тесная взаимосвязь между безопасностью и оценкой рисков заключается в том, что эффективная система безопасности всегда строится на результатах всесторонней оценки угроз. Без понимания вероятности и потенциального воздействия риска любые меры защиты могут быть либо избыточными и </w:t>
      </w:r>
      <w:proofErr w:type="spellStart"/>
      <w:r w:rsidRPr="004C7032">
        <w:rPr>
          <w:rFonts w:ascii="Times New Roman" w:hAnsi="Times New Roman" w:cs="Times New Roman"/>
          <w:sz w:val="28"/>
          <w:szCs w:val="28"/>
        </w:rPr>
        <w:t>ресурсозатратными</w:t>
      </w:r>
      <w:proofErr w:type="spellEnd"/>
      <w:r w:rsidRPr="004C7032">
        <w:rPr>
          <w:rFonts w:ascii="Times New Roman" w:hAnsi="Times New Roman" w:cs="Times New Roman"/>
          <w:sz w:val="28"/>
          <w:szCs w:val="28"/>
        </w:rPr>
        <w:t>, либо недостаточными, создавая ложное чувство защищенности.</w:t>
      </w:r>
    </w:p>
    <w:p w14:paraId="1D2EC59D" w14:textId="77777777" w:rsidR="00F92898" w:rsidRPr="004D1EB1" w:rsidRDefault="00F92898" w:rsidP="004C703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D1EB1">
        <w:rPr>
          <w:rFonts w:ascii="Times New Roman" w:hAnsi="Times New Roman" w:cs="Times New Roman"/>
          <w:b/>
          <w:sz w:val="28"/>
          <w:szCs w:val="28"/>
        </w:rPr>
        <w:t>2. Методологический аппарат оценки рисков в экономической безопасности</w:t>
      </w:r>
    </w:p>
    <w:p w14:paraId="265FE510" w14:textId="77777777" w:rsidR="00F92898" w:rsidRPr="004C7032" w:rsidRDefault="00F92898" w:rsidP="004C70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7032">
        <w:rPr>
          <w:rFonts w:ascii="Times New Roman" w:hAnsi="Times New Roman" w:cs="Times New Roman"/>
          <w:sz w:val="28"/>
          <w:szCs w:val="28"/>
        </w:rPr>
        <w:t>Процесс оценки рисков является структурированным и включает несколько последовательных этапов.</w:t>
      </w:r>
    </w:p>
    <w:p w14:paraId="47E36629" w14:textId="278D2B44" w:rsidR="00F92898" w:rsidRPr="004D1EB1" w:rsidRDefault="00F92898" w:rsidP="004D1EB1">
      <w:pPr>
        <w:pStyle w:val="a6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D1EB1">
        <w:rPr>
          <w:rFonts w:ascii="Times New Roman" w:hAnsi="Times New Roman" w:cs="Times New Roman"/>
          <w:b/>
          <w:sz w:val="28"/>
          <w:szCs w:val="28"/>
        </w:rPr>
        <w:t>Идентификация рисков.</w:t>
      </w:r>
      <w:r w:rsidRPr="004D1EB1">
        <w:rPr>
          <w:rFonts w:ascii="Times New Roman" w:hAnsi="Times New Roman" w:cs="Times New Roman"/>
          <w:sz w:val="28"/>
          <w:szCs w:val="28"/>
        </w:rPr>
        <w:t xml:space="preserve"> На этом этапе формируется реестр потенциальных событий, способных оказать негативное влияние на составляющие ЭБП. Применяются такие методы, как мозговой штурм, анализ сценариев, экспертные интервью, SWOT- и PEST-анализ, изучение исторических данных и отраслевой статистики. Важно учитывать как традиционные риски (пожары, кражи, колебания валютных курсов), так и </w:t>
      </w:r>
      <w:proofErr w:type="spellStart"/>
      <w:r w:rsidRPr="004D1EB1">
        <w:rPr>
          <w:rFonts w:ascii="Times New Roman" w:hAnsi="Times New Roman" w:cs="Times New Roman"/>
          <w:sz w:val="28"/>
          <w:szCs w:val="28"/>
        </w:rPr>
        <w:t>emerging</w:t>
      </w:r>
      <w:proofErr w:type="spellEnd"/>
      <w:r w:rsidRPr="004D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1EB1">
        <w:rPr>
          <w:rFonts w:ascii="Times New Roman" w:hAnsi="Times New Roman" w:cs="Times New Roman"/>
          <w:sz w:val="28"/>
          <w:szCs w:val="28"/>
        </w:rPr>
        <w:t>risks</w:t>
      </w:r>
      <w:proofErr w:type="spellEnd"/>
      <w:r w:rsidRPr="004D1EB1">
        <w:rPr>
          <w:rFonts w:ascii="Times New Roman" w:hAnsi="Times New Roman" w:cs="Times New Roman"/>
          <w:sz w:val="28"/>
          <w:szCs w:val="28"/>
        </w:rPr>
        <w:t xml:space="preserve"> (кибератаки, санкционные угрозы, репутационные кризисы в социальных сетях, включая </w:t>
      </w:r>
      <w:proofErr w:type="spellStart"/>
      <w:r w:rsidRPr="004D1EB1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4D1EB1">
        <w:rPr>
          <w:rFonts w:ascii="Times New Roman" w:hAnsi="Times New Roman" w:cs="Times New Roman"/>
          <w:sz w:val="28"/>
          <w:szCs w:val="28"/>
        </w:rPr>
        <w:t xml:space="preserve"> (принадлежит </w:t>
      </w:r>
      <w:proofErr w:type="spellStart"/>
      <w:r w:rsidRPr="004D1EB1">
        <w:rPr>
          <w:rFonts w:ascii="Times New Roman" w:hAnsi="Times New Roman" w:cs="Times New Roman"/>
          <w:sz w:val="28"/>
          <w:szCs w:val="28"/>
        </w:rPr>
        <w:t>Meta</w:t>
      </w:r>
      <w:proofErr w:type="spellEnd"/>
      <w:r w:rsidRPr="004D1EB1">
        <w:rPr>
          <w:rFonts w:ascii="Times New Roman" w:hAnsi="Times New Roman" w:cs="Times New Roman"/>
          <w:sz w:val="28"/>
          <w:szCs w:val="28"/>
        </w:rPr>
        <w:t>, признана экстремистской и запрещенной в Российской Федерации)).</w:t>
      </w:r>
    </w:p>
    <w:p w14:paraId="79D31A71" w14:textId="77777777" w:rsidR="00F92898" w:rsidRPr="004D1EB1" w:rsidRDefault="00F92898" w:rsidP="004D1EB1">
      <w:pPr>
        <w:pStyle w:val="a6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D1EB1">
        <w:rPr>
          <w:rFonts w:ascii="Times New Roman" w:hAnsi="Times New Roman" w:cs="Times New Roman"/>
          <w:b/>
          <w:sz w:val="28"/>
          <w:szCs w:val="28"/>
        </w:rPr>
        <w:lastRenderedPageBreak/>
        <w:t>Анализ и ранжирование рисков. </w:t>
      </w:r>
      <w:r w:rsidRPr="004D1EB1">
        <w:rPr>
          <w:rFonts w:ascii="Times New Roman" w:hAnsi="Times New Roman" w:cs="Times New Roman"/>
          <w:sz w:val="28"/>
          <w:szCs w:val="28"/>
        </w:rPr>
        <w:t xml:space="preserve">Выявленные риски анализируются с точки зрения двух ключевых параметров: вероятности возникновения (частота) и тяжести последствий (воздействие). Для качественной оценки используются матрицы рисков, позволяющие визуально распределить их по зонам (низкие, средние, высокие, критические). Количественный анализ предполагает расчет таких показателей, как </w:t>
      </w:r>
      <w:proofErr w:type="spellStart"/>
      <w:r w:rsidRPr="004D1EB1">
        <w:rPr>
          <w:rFonts w:ascii="Times New Roman" w:hAnsi="Times New Roman" w:cs="Times New Roman"/>
          <w:sz w:val="28"/>
          <w:szCs w:val="28"/>
        </w:rPr>
        <w:t>Value</w:t>
      </w:r>
      <w:proofErr w:type="spellEnd"/>
      <w:r w:rsidRPr="004D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1EB1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4D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1EB1">
        <w:rPr>
          <w:rFonts w:ascii="Times New Roman" w:hAnsi="Times New Roman" w:cs="Times New Roman"/>
          <w:sz w:val="28"/>
          <w:szCs w:val="28"/>
        </w:rPr>
        <w:t>Risk</w:t>
      </w:r>
      <w:proofErr w:type="spellEnd"/>
      <w:r w:rsidRPr="004D1EB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D1EB1">
        <w:rPr>
          <w:rFonts w:ascii="Times New Roman" w:hAnsi="Times New Roman" w:cs="Times New Roman"/>
          <w:sz w:val="28"/>
          <w:szCs w:val="28"/>
        </w:rPr>
        <w:t>VaR</w:t>
      </w:r>
      <w:proofErr w:type="spellEnd"/>
      <w:r w:rsidRPr="004D1EB1">
        <w:rPr>
          <w:rFonts w:ascii="Times New Roman" w:hAnsi="Times New Roman" w:cs="Times New Roman"/>
          <w:sz w:val="28"/>
          <w:szCs w:val="28"/>
        </w:rPr>
        <w:t>), ожидаемые монетарные потери или показатели операционного риска. Особое внимание уделяется рискам с низкой вероятностью, но катастрофическими последствиями («черные лебеди»).</w:t>
      </w:r>
    </w:p>
    <w:p w14:paraId="32AA624E" w14:textId="77777777" w:rsidR="00F92898" w:rsidRPr="004D1EB1" w:rsidRDefault="00F92898" w:rsidP="004D1EB1">
      <w:pPr>
        <w:pStyle w:val="a6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D1EB1">
        <w:rPr>
          <w:rFonts w:ascii="Times New Roman" w:hAnsi="Times New Roman" w:cs="Times New Roman"/>
          <w:b/>
          <w:sz w:val="28"/>
          <w:szCs w:val="28"/>
        </w:rPr>
        <w:t>Разработка и внедрение мер реагирования на риски.</w:t>
      </w:r>
      <w:r w:rsidRPr="004D1EB1">
        <w:rPr>
          <w:rFonts w:ascii="Times New Roman" w:hAnsi="Times New Roman" w:cs="Times New Roman"/>
          <w:sz w:val="28"/>
          <w:szCs w:val="28"/>
        </w:rPr>
        <w:t> Для каждого приоритетного риска разрабатывается стратегия управления:</w:t>
      </w:r>
    </w:p>
    <w:p w14:paraId="4D8A0A8D" w14:textId="77777777" w:rsidR="00F92898" w:rsidRPr="004D1EB1" w:rsidRDefault="00F92898" w:rsidP="004D1EB1">
      <w:pPr>
        <w:pStyle w:val="a6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D1EB1">
        <w:rPr>
          <w:rFonts w:ascii="Times New Roman" w:hAnsi="Times New Roman" w:cs="Times New Roman"/>
          <w:b/>
          <w:sz w:val="28"/>
          <w:szCs w:val="28"/>
        </w:rPr>
        <w:t>Принятие:</w:t>
      </w:r>
      <w:r w:rsidRPr="004D1EB1">
        <w:rPr>
          <w:rFonts w:ascii="Times New Roman" w:hAnsi="Times New Roman" w:cs="Times New Roman"/>
          <w:sz w:val="28"/>
          <w:szCs w:val="28"/>
        </w:rPr>
        <w:t> риск осознанно принимается, если его уровень находится в приемлемых для бизнеса границах.</w:t>
      </w:r>
    </w:p>
    <w:p w14:paraId="43C39040" w14:textId="77777777" w:rsidR="00F92898" w:rsidRPr="00DC1BAA" w:rsidRDefault="00F92898" w:rsidP="00DC1BAA">
      <w:pPr>
        <w:pStyle w:val="a6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Снижение (</w:t>
      </w:r>
      <w:proofErr w:type="spellStart"/>
      <w:r w:rsidRPr="00DC1BAA">
        <w:rPr>
          <w:rFonts w:ascii="Times New Roman" w:hAnsi="Times New Roman" w:cs="Times New Roman"/>
          <w:b/>
          <w:sz w:val="28"/>
          <w:szCs w:val="28"/>
        </w:rPr>
        <w:t>митигация</w:t>
      </w:r>
      <w:proofErr w:type="spellEnd"/>
      <w:r w:rsidRPr="00DC1BAA">
        <w:rPr>
          <w:rFonts w:ascii="Times New Roman" w:hAnsi="Times New Roman" w:cs="Times New Roman"/>
          <w:b/>
          <w:sz w:val="28"/>
          <w:szCs w:val="28"/>
        </w:rPr>
        <w:t>):</w:t>
      </w:r>
      <w:r w:rsidRPr="00DC1BAA">
        <w:rPr>
          <w:rFonts w:ascii="Times New Roman" w:hAnsi="Times New Roman" w:cs="Times New Roman"/>
          <w:sz w:val="28"/>
          <w:szCs w:val="28"/>
        </w:rPr>
        <w:t> внедряются контрольные процедуры и меры безопасности для уменьшения вероятности или воздействия (например, установка систем резервного копирования данных, диверсификация поставщиков, хеджирование валютных рисков).</w:t>
      </w:r>
    </w:p>
    <w:p w14:paraId="4081B699" w14:textId="77777777" w:rsidR="00F92898" w:rsidRPr="00DC1BAA" w:rsidRDefault="00F92898" w:rsidP="00DC1BAA">
      <w:pPr>
        <w:pStyle w:val="a6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Избегание:</w:t>
      </w:r>
      <w:r w:rsidRPr="00DC1BAA">
        <w:rPr>
          <w:rFonts w:ascii="Times New Roman" w:hAnsi="Times New Roman" w:cs="Times New Roman"/>
          <w:sz w:val="28"/>
          <w:szCs w:val="28"/>
        </w:rPr>
        <w:t> отказ от деятельности, несущей неприемлемый риск.</w:t>
      </w:r>
    </w:p>
    <w:p w14:paraId="4B46F322" w14:textId="77777777" w:rsidR="00F92898" w:rsidRPr="00DC1BAA" w:rsidRDefault="00F92898" w:rsidP="00DC1BAA">
      <w:pPr>
        <w:pStyle w:val="a6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Передача:</w:t>
      </w:r>
      <w:r w:rsidRPr="00DC1BAA">
        <w:rPr>
          <w:rFonts w:ascii="Times New Roman" w:hAnsi="Times New Roman" w:cs="Times New Roman"/>
          <w:sz w:val="28"/>
          <w:szCs w:val="28"/>
        </w:rPr>
        <w:t> передача риска третьей стороне (страхование, аутсорсинг, заключение гарантийных договоров).</w:t>
      </w:r>
    </w:p>
    <w:p w14:paraId="7BEA3A3C" w14:textId="77777777" w:rsidR="00F92898" w:rsidRPr="00DC1BAA" w:rsidRDefault="00F92898" w:rsidP="00DC1BAA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Мониторинг и пересмотр. </w:t>
      </w:r>
      <w:r w:rsidRPr="00DC1BAA">
        <w:rPr>
          <w:rFonts w:ascii="Times New Roman" w:hAnsi="Times New Roman" w:cs="Times New Roman"/>
          <w:sz w:val="28"/>
          <w:szCs w:val="28"/>
        </w:rPr>
        <w:t>Ситуация на рынке и внутри организации постоянно меняется, появляются новые угрозы. Поэтому процесс оценки рисков должен быть циклическим. Реестр рисков и эффективность контрольных мер необходимо регулярно пересматривать (как минимум, ежегодно) и актуализировать при существенных изменениях в бизнес-среде или стратегии компании.</w:t>
      </w:r>
    </w:p>
    <w:p w14:paraId="63C91CA9" w14:textId="77777777" w:rsidR="00F92898" w:rsidRPr="00DC1BAA" w:rsidRDefault="00F92898" w:rsidP="004C703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3. Практические аспекты интеграции оценки рисков в систему экономической безопасности</w:t>
      </w:r>
    </w:p>
    <w:p w14:paraId="355D6BD1" w14:textId="77777777" w:rsidR="00F92898" w:rsidRPr="004C7032" w:rsidRDefault="00F92898" w:rsidP="004C70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7032">
        <w:rPr>
          <w:rFonts w:ascii="Times New Roman" w:hAnsi="Times New Roman" w:cs="Times New Roman"/>
          <w:sz w:val="28"/>
          <w:szCs w:val="28"/>
        </w:rPr>
        <w:lastRenderedPageBreak/>
        <w:t>Для успешного внедрения риск-ориентированного подхода к экономической безопасности необходимы:</w:t>
      </w:r>
    </w:p>
    <w:p w14:paraId="5BFE0465" w14:textId="77777777" w:rsidR="00F92898" w:rsidRPr="00DC1BAA" w:rsidRDefault="00F92898" w:rsidP="00DC1BAA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Интеграция в стратегическое планирование.</w:t>
      </w:r>
      <w:r w:rsidRPr="00DC1BAA">
        <w:rPr>
          <w:rFonts w:ascii="Times New Roman" w:hAnsi="Times New Roman" w:cs="Times New Roman"/>
          <w:sz w:val="28"/>
          <w:szCs w:val="28"/>
        </w:rPr>
        <w:t> Цели и задачи риск-менеджмента должны быть увязаны со стратегией развития компании. Результаты оценки рисков должны учитываться при принятии ключевых управленческих решений: о выходе на новые рынки, запуске продуктов, крупных инвестициях.</w:t>
      </w:r>
    </w:p>
    <w:p w14:paraId="3AFB7DDE" w14:textId="77777777" w:rsidR="00F92898" w:rsidRPr="00DC1BAA" w:rsidRDefault="00F92898" w:rsidP="00DC1BAA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Четкое распределение ролей и ответственности.</w:t>
      </w:r>
      <w:r w:rsidRPr="00DC1BAA">
        <w:rPr>
          <w:rFonts w:ascii="Times New Roman" w:hAnsi="Times New Roman" w:cs="Times New Roman"/>
          <w:sz w:val="28"/>
          <w:szCs w:val="28"/>
        </w:rPr>
        <w:t xml:space="preserve"> Функции по идентификации, оценке и мониторингу рисков закрепляются за конкретными подразделениями и должностными лицами. Часто создается отдельная служба риск-менеджмента или назначается </w:t>
      </w:r>
      <w:proofErr w:type="spellStart"/>
      <w:r w:rsidRPr="00DC1BAA">
        <w:rPr>
          <w:rFonts w:ascii="Times New Roman" w:hAnsi="Times New Roman" w:cs="Times New Roman"/>
          <w:sz w:val="28"/>
          <w:szCs w:val="28"/>
        </w:rPr>
        <w:t>Chief</w:t>
      </w:r>
      <w:proofErr w:type="spellEnd"/>
      <w:r w:rsidRPr="00DC1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BAA">
        <w:rPr>
          <w:rFonts w:ascii="Times New Roman" w:hAnsi="Times New Roman" w:cs="Times New Roman"/>
          <w:sz w:val="28"/>
          <w:szCs w:val="28"/>
        </w:rPr>
        <w:t>Risk</w:t>
      </w:r>
      <w:proofErr w:type="spellEnd"/>
      <w:r w:rsidRPr="00DC1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BAA">
        <w:rPr>
          <w:rFonts w:ascii="Times New Roman" w:hAnsi="Times New Roman" w:cs="Times New Roman"/>
          <w:sz w:val="28"/>
          <w:szCs w:val="28"/>
        </w:rPr>
        <w:t>Officer</w:t>
      </w:r>
      <w:proofErr w:type="spellEnd"/>
      <w:r w:rsidRPr="00DC1BAA">
        <w:rPr>
          <w:rFonts w:ascii="Times New Roman" w:hAnsi="Times New Roman" w:cs="Times New Roman"/>
          <w:sz w:val="28"/>
          <w:szCs w:val="28"/>
        </w:rPr>
        <w:t xml:space="preserve"> (CRO), который взаимодействует со службой безопасности, финансовым департаментом, юридической службой и операционными блоками.</w:t>
      </w:r>
    </w:p>
    <w:p w14:paraId="5D188C0E" w14:textId="77777777" w:rsidR="00F92898" w:rsidRPr="00DC1BAA" w:rsidRDefault="00F92898" w:rsidP="00DC1BAA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Развитие риск-культуры.</w:t>
      </w:r>
      <w:r w:rsidRPr="00DC1BAA">
        <w:rPr>
          <w:rFonts w:ascii="Times New Roman" w:hAnsi="Times New Roman" w:cs="Times New Roman"/>
          <w:sz w:val="28"/>
          <w:szCs w:val="28"/>
        </w:rPr>
        <w:t> Понимание важности управления рисками должно быть привито на всех уровнях организации — от топ-менеджмента до рядовых сотрудников. Это предполагает регулярное обучение, информирование о ключевых рисках и поощрение за их своевременное выявление и сообщение.</w:t>
      </w:r>
    </w:p>
    <w:p w14:paraId="11C1F032" w14:textId="77777777" w:rsidR="00F92898" w:rsidRPr="00DC1BAA" w:rsidRDefault="00F92898" w:rsidP="00DC1BAA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Использование информационных технологий.</w:t>
      </w:r>
      <w:r w:rsidRPr="00DC1BAA">
        <w:rPr>
          <w:rFonts w:ascii="Times New Roman" w:hAnsi="Times New Roman" w:cs="Times New Roman"/>
          <w:sz w:val="28"/>
          <w:szCs w:val="28"/>
        </w:rPr>
        <w:t> Современные GRC-системы (</w:t>
      </w:r>
      <w:proofErr w:type="spellStart"/>
      <w:r w:rsidRPr="00DC1BAA">
        <w:rPr>
          <w:rFonts w:ascii="Times New Roman" w:hAnsi="Times New Roman" w:cs="Times New Roman"/>
          <w:sz w:val="28"/>
          <w:szCs w:val="28"/>
        </w:rPr>
        <w:t>Governance</w:t>
      </w:r>
      <w:proofErr w:type="spellEnd"/>
      <w:r w:rsidRPr="00DC1B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1BAA">
        <w:rPr>
          <w:rFonts w:ascii="Times New Roman" w:hAnsi="Times New Roman" w:cs="Times New Roman"/>
          <w:sz w:val="28"/>
          <w:szCs w:val="28"/>
        </w:rPr>
        <w:t>Risk</w:t>
      </w:r>
      <w:proofErr w:type="spellEnd"/>
      <w:r w:rsidRPr="00DC1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BAA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DC1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BAA">
        <w:rPr>
          <w:rFonts w:ascii="Times New Roman" w:hAnsi="Times New Roman" w:cs="Times New Roman"/>
          <w:sz w:val="28"/>
          <w:szCs w:val="28"/>
        </w:rPr>
        <w:t>Compliance</w:t>
      </w:r>
      <w:proofErr w:type="spellEnd"/>
      <w:r w:rsidRPr="00DC1BAA">
        <w:rPr>
          <w:rFonts w:ascii="Times New Roman" w:hAnsi="Times New Roman" w:cs="Times New Roman"/>
          <w:sz w:val="28"/>
          <w:szCs w:val="28"/>
        </w:rPr>
        <w:t>) и специализированное программное обеспечение для риск-менеджмента позволяют автоматизировать сбор данных, моделирование сценариев, ведение реестров рисков и формирование отчетности, повышая скорость и качество принимаемых решений.</w:t>
      </w:r>
    </w:p>
    <w:p w14:paraId="58287259" w14:textId="77777777" w:rsidR="00F92898" w:rsidRPr="00DC1BAA" w:rsidRDefault="00F92898" w:rsidP="004C703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4. Актуальные вызовы и тенденции в области оценки рисков</w:t>
      </w:r>
    </w:p>
    <w:p w14:paraId="22B7A56A" w14:textId="77777777" w:rsidR="00F92898" w:rsidRPr="004C7032" w:rsidRDefault="00F92898" w:rsidP="004C70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7032">
        <w:rPr>
          <w:rFonts w:ascii="Times New Roman" w:hAnsi="Times New Roman" w:cs="Times New Roman"/>
          <w:sz w:val="28"/>
          <w:szCs w:val="28"/>
        </w:rPr>
        <w:t>Современная деловая среда ставит перед системами экономической безопасности новые сложные задачи:</w:t>
      </w:r>
    </w:p>
    <w:p w14:paraId="7A518841" w14:textId="77777777" w:rsidR="00F92898" w:rsidRPr="00DC1BAA" w:rsidRDefault="00F92898" w:rsidP="00DC1BAA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1BAA">
        <w:rPr>
          <w:rFonts w:ascii="Times New Roman" w:hAnsi="Times New Roman" w:cs="Times New Roman"/>
          <w:b/>
          <w:sz w:val="28"/>
          <w:szCs w:val="28"/>
        </w:rPr>
        <w:lastRenderedPageBreak/>
        <w:t>Киберриски</w:t>
      </w:r>
      <w:proofErr w:type="spellEnd"/>
      <w:r w:rsidRPr="00DC1BAA">
        <w:rPr>
          <w:rFonts w:ascii="Times New Roman" w:hAnsi="Times New Roman" w:cs="Times New Roman"/>
          <w:b/>
          <w:sz w:val="28"/>
          <w:szCs w:val="28"/>
        </w:rPr>
        <w:t>:</w:t>
      </w:r>
      <w:r w:rsidRPr="00DC1BAA">
        <w:rPr>
          <w:rFonts w:ascii="Times New Roman" w:hAnsi="Times New Roman" w:cs="Times New Roman"/>
          <w:sz w:val="28"/>
          <w:szCs w:val="28"/>
        </w:rPr>
        <w:t xml:space="preserve"> остаются одними из наиболее динамичных и опасных. Атаки становятся более изощренными (таргетированные фишинг, </w:t>
      </w:r>
      <w:proofErr w:type="spellStart"/>
      <w:r w:rsidRPr="00DC1BAA">
        <w:rPr>
          <w:rFonts w:ascii="Times New Roman" w:hAnsi="Times New Roman" w:cs="Times New Roman"/>
          <w:sz w:val="28"/>
          <w:szCs w:val="28"/>
        </w:rPr>
        <w:t>ransomware</w:t>
      </w:r>
      <w:proofErr w:type="spellEnd"/>
      <w:r w:rsidRPr="00DC1BAA">
        <w:rPr>
          <w:rFonts w:ascii="Times New Roman" w:hAnsi="Times New Roman" w:cs="Times New Roman"/>
          <w:sz w:val="28"/>
          <w:szCs w:val="28"/>
        </w:rPr>
        <w:t>), а ущерб может быть колоссальным.</w:t>
      </w:r>
    </w:p>
    <w:p w14:paraId="24E52106" w14:textId="77777777" w:rsidR="00F92898" w:rsidRPr="00DC1BAA" w:rsidRDefault="00F92898" w:rsidP="00DC1BAA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Геополитические и санкционные риски:</w:t>
      </w:r>
      <w:r w:rsidRPr="00DC1BAA">
        <w:rPr>
          <w:rFonts w:ascii="Times New Roman" w:hAnsi="Times New Roman" w:cs="Times New Roman"/>
          <w:sz w:val="28"/>
          <w:szCs w:val="28"/>
        </w:rPr>
        <w:t xml:space="preserve"> введение ограничительных мер, разрыв логистических цепочек и необходимость </w:t>
      </w:r>
      <w:proofErr w:type="spellStart"/>
      <w:r w:rsidRPr="00DC1BAA">
        <w:rPr>
          <w:rFonts w:ascii="Times New Roman" w:hAnsi="Times New Roman" w:cs="Times New Roman"/>
          <w:sz w:val="28"/>
          <w:szCs w:val="28"/>
        </w:rPr>
        <w:t>релокации</w:t>
      </w:r>
      <w:proofErr w:type="spellEnd"/>
      <w:r w:rsidRPr="00DC1BAA">
        <w:rPr>
          <w:rFonts w:ascii="Times New Roman" w:hAnsi="Times New Roman" w:cs="Times New Roman"/>
          <w:sz w:val="28"/>
          <w:szCs w:val="28"/>
        </w:rPr>
        <w:t xml:space="preserve"> бизнеса требуют постоянного сценарного анализа и стресс-тестирования бизнес-моделей.</w:t>
      </w:r>
    </w:p>
    <w:p w14:paraId="05309CF4" w14:textId="77777777" w:rsidR="00F92898" w:rsidRPr="00DC1BAA" w:rsidRDefault="00F92898" w:rsidP="00DC1BAA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Репутационные риски в цифровой среде:</w:t>
      </w:r>
      <w:r w:rsidRPr="00DC1BAA">
        <w:rPr>
          <w:rFonts w:ascii="Times New Roman" w:hAnsi="Times New Roman" w:cs="Times New Roman"/>
          <w:sz w:val="28"/>
          <w:szCs w:val="28"/>
        </w:rPr>
        <w:t> скорость распространения информации в социальных сетях и медиа (включая запрещенные в Российской Федерации) может в кратчайшие сроки нанести непоправимый ущерб бренду.</w:t>
      </w:r>
    </w:p>
    <w:p w14:paraId="3501F1D7" w14:textId="77777777" w:rsidR="00F92898" w:rsidRPr="00DC1BAA" w:rsidRDefault="00F92898" w:rsidP="00DC1BAA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Риски, связанные с человеческим фактором:</w:t>
      </w:r>
      <w:r w:rsidRPr="00DC1BAA">
        <w:rPr>
          <w:rFonts w:ascii="Times New Roman" w:hAnsi="Times New Roman" w:cs="Times New Roman"/>
          <w:sz w:val="28"/>
          <w:szCs w:val="28"/>
        </w:rPr>
        <w:t> инсайдерские угрозы, недостаточная квалификация персонала, низкая лояльность. Важным элементом защиты здесь является регулярный внутренний аудит и проверка сотрудников, имеющих доступ к критически важной информации.</w:t>
      </w:r>
    </w:p>
    <w:p w14:paraId="26A79D99" w14:textId="77777777" w:rsidR="00F92898" w:rsidRPr="00DC1BAA" w:rsidRDefault="00F92898" w:rsidP="00DC1BAA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Экологические, социальные и управленческие риски (ESG):</w:t>
      </w:r>
      <w:r w:rsidRPr="00DC1BAA">
        <w:rPr>
          <w:rFonts w:ascii="Times New Roman" w:hAnsi="Times New Roman" w:cs="Times New Roman"/>
          <w:sz w:val="28"/>
          <w:szCs w:val="28"/>
        </w:rPr>
        <w:t> давление со стороны инвесторов, регуляторов и общества заставляет компании уделять повышенное внимание устойчивому развитию, прозрачности и этике ведения бизнеса. Несоблюдение ESG-стандартов становится существенным финансовым и репутационным риском.</w:t>
      </w:r>
    </w:p>
    <w:p w14:paraId="0755BDEB" w14:textId="77777777" w:rsidR="00F92898" w:rsidRPr="00DC1BAA" w:rsidRDefault="00F92898" w:rsidP="004C703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7F6390D9" w14:textId="77777777" w:rsidR="00F92898" w:rsidRPr="004C7032" w:rsidRDefault="00F92898" w:rsidP="004C70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7032">
        <w:rPr>
          <w:rFonts w:ascii="Times New Roman" w:hAnsi="Times New Roman" w:cs="Times New Roman"/>
          <w:sz w:val="28"/>
          <w:szCs w:val="28"/>
        </w:rPr>
        <w:t xml:space="preserve">Таким образом, безопасность и оценка рисков в экономической безопасности предприятия представляют собой две стороны одной медали. Безопасность является целевым состоянием, а оценка рисков – основным процессом, который это состояние обеспечивает. Эффективная система экономической безопасности не может быть построена на интуиции или реактивных действиях; она требует внедрения </w:t>
      </w:r>
      <w:proofErr w:type="spellStart"/>
      <w:r w:rsidRPr="004C7032">
        <w:rPr>
          <w:rFonts w:ascii="Times New Roman" w:hAnsi="Times New Roman" w:cs="Times New Roman"/>
          <w:sz w:val="28"/>
          <w:szCs w:val="28"/>
        </w:rPr>
        <w:t>проактивного</w:t>
      </w:r>
      <w:proofErr w:type="spellEnd"/>
      <w:r w:rsidRPr="004C7032">
        <w:rPr>
          <w:rFonts w:ascii="Times New Roman" w:hAnsi="Times New Roman" w:cs="Times New Roman"/>
          <w:sz w:val="28"/>
          <w:szCs w:val="28"/>
        </w:rPr>
        <w:t>, системного и цикличного подхода к управлению рисками.</w:t>
      </w:r>
    </w:p>
    <w:p w14:paraId="29B8C2AE" w14:textId="77777777" w:rsidR="00F92898" w:rsidRPr="004C7032" w:rsidRDefault="00F92898" w:rsidP="004C70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7032">
        <w:rPr>
          <w:rFonts w:ascii="Times New Roman" w:hAnsi="Times New Roman" w:cs="Times New Roman"/>
          <w:sz w:val="28"/>
          <w:szCs w:val="28"/>
        </w:rPr>
        <w:lastRenderedPageBreak/>
        <w:t>Интеграция методологии риск-менеджмента в стратегическое и операционное управление позволяет организации не просто выживать в условиях неопределенности, но и извлекать конкурентные преимущества. Способность вовремя идентифицировать новые угрозы, адекватно оценивать их потенциальное влияние и гибко на них реагировать становится ключевым компетенцией современного бизнеса. Дальнейшее развитие данной области связано с углублением использования больших данных и искусственного интеллекта для прогнозирования рисков, а также с усилением междисциплинарного подхода, объединяющего экономические, юридические, IT и психологические знания для создания комплексных защитных механизмов.</w:t>
      </w:r>
    </w:p>
    <w:p w14:paraId="30114BC7" w14:textId="77777777" w:rsidR="00F92898" w:rsidRPr="00DC1BAA" w:rsidRDefault="00F92898" w:rsidP="004C703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1BAA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14:paraId="31297FC6" w14:textId="1AA57B63" w:rsidR="004434BF" w:rsidRPr="004434BF" w:rsidRDefault="004434BF" w:rsidP="00443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434BF">
        <w:rPr>
          <w:rFonts w:ascii="Times New Roman" w:hAnsi="Times New Roman" w:cs="Times New Roman"/>
          <w:sz w:val="28"/>
          <w:szCs w:val="28"/>
        </w:rPr>
        <w:t>Кузнецов, А. В. Стратегический риск-менеджмент и экономическая безопасность корпораций в условиях санкционного давления / А. В. Кузнецов, Т. К. Сидорова. — Москва: ИНФРА-М, 2024. — 318 с.</w:t>
      </w:r>
    </w:p>
    <w:p w14:paraId="20178E52" w14:textId="17BA88A4" w:rsidR="004434BF" w:rsidRPr="004434BF" w:rsidRDefault="004434BF" w:rsidP="00443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434BF">
        <w:rPr>
          <w:rFonts w:ascii="Times New Roman" w:hAnsi="Times New Roman" w:cs="Times New Roman"/>
          <w:sz w:val="28"/>
          <w:szCs w:val="28"/>
        </w:rPr>
        <w:t>Государственная стратегия экономической безопасности Российской Федерации на период до 2030 года (утверждена Указом Президента РФ от 14 мая 2024 г. № 345) // Официальный интернет-портал правовой информации. — URL: </w:t>
      </w:r>
      <w:hyperlink r:id="rId5" w:tgtFrame="_blank" w:history="1">
        <w:r w:rsidRPr="004434BF">
          <w:rPr>
            <w:rStyle w:val="a5"/>
            <w:rFonts w:ascii="Times New Roman" w:hAnsi="Times New Roman" w:cs="Times New Roman"/>
            <w:sz w:val="28"/>
            <w:szCs w:val="28"/>
          </w:rPr>
          <w:t>http://publication.pravo</w:t>
        </w:r>
        <w:bookmarkStart w:id="0" w:name="_GoBack"/>
        <w:bookmarkEnd w:id="0"/>
        <w:r w:rsidRPr="004434BF">
          <w:rPr>
            <w:rStyle w:val="a5"/>
            <w:rFonts w:ascii="Times New Roman" w:hAnsi="Times New Roman" w:cs="Times New Roman"/>
            <w:sz w:val="28"/>
            <w:szCs w:val="28"/>
          </w:rPr>
          <w:t>.gov.ru/Document/View/0001202405140002</w:t>
        </w:r>
      </w:hyperlink>
      <w:r w:rsidRPr="004434BF">
        <w:rPr>
          <w:rFonts w:ascii="Times New Roman" w:hAnsi="Times New Roman" w:cs="Times New Roman"/>
          <w:sz w:val="28"/>
          <w:szCs w:val="28"/>
        </w:rPr>
        <w:t> (дата обращения: 20.03.2025).</w:t>
      </w:r>
    </w:p>
    <w:p w14:paraId="34E47D26" w14:textId="47A60366" w:rsidR="004434BF" w:rsidRPr="004434BF" w:rsidRDefault="004434BF" w:rsidP="00443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434BF">
        <w:rPr>
          <w:rFonts w:ascii="Times New Roman" w:hAnsi="Times New Roman" w:cs="Times New Roman"/>
          <w:sz w:val="28"/>
          <w:szCs w:val="28"/>
        </w:rPr>
        <w:t>Петров, К. А. Искусственный интеллект в системе предиктивной аналитики рисков экономической безопасности / К. А. Петров // Цифровая экономика и безопасность. — 2024. — Т. 5, № 2. — С. 45–63.</w:t>
      </w:r>
    </w:p>
    <w:p w14:paraId="3CA1D7DF" w14:textId="64415E49" w:rsidR="004434BF" w:rsidRPr="004434BF" w:rsidRDefault="004434BF" w:rsidP="00443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434BF">
        <w:rPr>
          <w:rFonts w:ascii="Times New Roman" w:hAnsi="Times New Roman" w:cs="Times New Roman"/>
          <w:sz w:val="28"/>
          <w:szCs w:val="28"/>
        </w:rPr>
        <w:t xml:space="preserve">Приказ Банка России от 11.12.2023 № 874-П «О требованиях к системе управления рисками и капиталом в </w:t>
      </w:r>
      <w:proofErr w:type="spellStart"/>
      <w:r w:rsidRPr="004434BF">
        <w:rPr>
          <w:rFonts w:ascii="Times New Roman" w:hAnsi="Times New Roman" w:cs="Times New Roman"/>
          <w:sz w:val="28"/>
          <w:szCs w:val="28"/>
        </w:rPr>
        <w:t>некредитных</w:t>
      </w:r>
      <w:proofErr w:type="spellEnd"/>
      <w:r w:rsidRPr="004434BF">
        <w:rPr>
          <w:rFonts w:ascii="Times New Roman" w:hAnsi="Times New Roman" w:cs="Times New Roman"/>
          <w:sz w:val="28"/>
          <w:szCs w:val="28"/>
        </w:rPr>
        <w:t xml:space="preserve"> финансовых организациях» (зарегистрирован в Минюсте России 22.03.2024 № 77589) // Вестник Банка России. — 2024. — № 25.</w:t>
      </w:r>
    </w:p>
    <w:p w14:paraId="27E36147" w14:textId="4B478E1F" w:rsidR="004434BF" w:rsidRPr="004434BF" w:rsidRDefault="004434BF" w:rsidP="00443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434BF">
        <w:rPr>
          <w:rFonts w:ascii="Times New Roman" w:hAnsi="Times New Roman" w:cs="Times New Roman"/>
          <w:sz w:val="28"/>
          <w:szCs w:val="28"/>
        </w:rPr>
        <w:t>Белов, П. Р. ESG-риски как компонент угроз экономической безопасности: методика интеграции в систему корпоративного управления / П. Р. Белов // Российское предпринимательство. — 2024. — № 6 (148). — С. 134–152.</w:t>
      </w:r>
    </w:p>
    <w:p w14:paraId="59179D69" w14:textId="0E1BAC3E" w:rsidR="004434BF" w:rsidRPr="004434BF" w:rsidRDefault="004434BF" w:rsidP="00443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434BF">
        <w:rPr>
          <w:rFonts w:ascii="Times New Roman" w:hAnsi="Times New Roman" w:cs="Times New Roman"/>
          <w:sz w:val="28"/>
          <w:szCs w:val="28"/>
        </w:rPr>
        <w:t>Федеральный закон от 24.06.2024 № 234-ФЗ «О внесении изменений в Федеральный закон "О безопасности критической информационной инфраструктуры Российской Федерации"» // Собрание законодательства РФ. — 2024. — № 26. — Ст. 5124.</w:t>
      </w:r>
    </w:p>
    <w:p w14:paraId="79FE9CF5" w14:textId="4A94CD97" w:rsidR="004434BF" w:rsidRPr="004434BF" w:rsidRDefault="004434BF" w:rsidP="00443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Pr="004434BF">
        <w:rPr>
          <w:rFonts w:ascii="Times New Roman" w:hAnsi="Times New Roman" w:cs="Times New Roman"/>
          <w:sz w:val="28"/>
          <w:szCs w:val="28"/>
        </w:rPr>
        <w:t>Методические рекомендации по оценке рисков устойчивости цепочек поставок (письмо Минпромторга России от 18.02.2024 № 1245-ИС/Д07и) // Официальный сайт Министерства промышленности и торговли РФ. — URL: </w:t>
      </w:r>
      <w:hyperlink r:id="rId6" w:tgtFrame="_blank" w:history="1">
        <w:r w:rsidRPr="004434BF">
          <w:rPr>
            <w:rStyle w:val="a5"/>
            <w:rFonts w:ascii="Times New Roman" w:hAnsi="Times New Roman" w:cs="Times New Roman"/>
            <w:sz w:val="28"/>
            <w:szCs w:val="28"/>
          </w:rPr>
          <w:t>https://minpromtorg.gov.ru/docs/letters/</w:t>
        </w:r>
      </w:hyperlink>
      <w:r w:rsidRPr="004434BF">
        <w:rPr>
          <w:rFonts w:ascii="Times New Roman" w:hAnsi="Times New Roman" w:cs="Times New Roman"/>
          <w:sz w:val="28"/>
          <w:szCs w:val="28"/>
        </w:rPr>
        <w:t> (дата обращения: 20.03.2025).</w:t>
      </w:r>
    </w:p>
    <w:p w14:paraId="37D85EB6" w14:textId="3C8E4A2D" w:rsidR="004434BF" w:rsidRPr="004434BF" w:rsidRDefault="004434BF" w:rsidP="00443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4434BF">
        <w:rPr>
          <w:rFonts w:ascii="Times New Roman" w:hAnsi="Times New Roman" w:cs="Times New Roman"/>
          <w:sz w:val="28"/>
          <w:szCs w:val="28"/>
        </w:rPr>
        <w:t xml:space="preserve">Соколова, М. И. Репутационный риск в цифровом пространстве: инструменты мониторинга и реагирования / М. И. Соколова // PR и </w:t>
      </w:r>
      <w:proofErr w:type="spellStart"/>
      <w:r w:rsidRPr="004434BF">
        <w:rPr>
          <w:rFonts w:ascii="Times New Roman" w:hAnsi="Times New Roman" w:cs="Times New Roman"/>
          <w:sz w:val="28"/>
          <w:szCs w:val="28"/>
        </w:rPr>
        <w:t>медиаисследования</w:t>
      </w:r>
      <w:proofErr w:type="spellEnd"/>
      <w:r w:rsidRPr="004434BF">
        <w:rPr>
          <w:rFonts w:ascii="Times New Roman" w:hAnsi="Times New Roman" w:cs="Times New Roman"/>
          <w:sz w:val="28"/>
          <w:szCs w:val="28"/>
        </w:rPr>
        <w:t>. — 2023. — № 4. — С. 88–105.</w:t>
      </w:r>
    </w:p>
    <w:p w14:paraId="02B641C4" w14:textId="1C1E423D" w:rsidR="004434BF" w:rsidRPr="004434BF" w:rsidRDefault="004434BF" w:rsidP="00443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4434BF">
        <w:rPr>
          <w:rFonts w:ascii="Times New Roman" w:hAnsi="Times New Roman" w:cs="Times New Roman"/>
          <w:sz w:val="28"/>
          <w:szCs w:val="28"/>
        </w:rPr>
        <w:t>О реестре иностранных агентов: сведения Министерства юстиции Российской Федерации // Официальный сайт Минюста России. — Режим доступа: </w:t>
      </w:r>
      <w:hyperlink r:id="rId7" w:tgtFrame="_blank" w:history="1">
        <w:r w:rsidRPr="004434BF">
          <w:rPr>
            <w:rStyle w:val="a5"/>
            <w:rFonts w:ascii="Times New Roman" w:hAnsi="Times New Roman" w:cs="Times New Roman"/>
            <w:sz w:val="28"/>
            <w:szCs w:val="28"/>
          </w:rPr>
          <w:t>https://minjust.gov.ru/ru/activity/nko/foreignagents/</w:t>
        </w:r>
      </w:hyperlink>
      <w:r w:rsidRPr="004434BF">
        <w:rPr>
          <w:rFonts w:ascii="Times New Roman" w:hAnsi="Times New Roman" w:cs="Times New Roman"/>
          <w:sz w:val="28"/>
          <w:szCs w:val="28"/>
        </w:rPr>
        <w:t> (дата обращения: 20.03.2025).</w:t>
      </w:r>
    </w:p>
    <w:p w14:paraId="77695D90" w14:textId="77777777" w:rsidR="00DC43F8" w:rsidRPr="004434BF" w:rsidRDefault="00DC43F8" w:rsidP="004434BF">
      <w:pPr>
        <w:rPr>
          <w:rFonts w:ascii="Times New Roman" w:hAnsi="Times New Roman" w:cs="Times New Roman"/>
          <w:sz w:val="28"/>
          <w:szCs w:val="28"/>
        </w:rPr>
      </w:pPr>
    </w:p>
    <w:sectPr w:rsidR="00DC43F8" w:rsidRPr="004434BF" w:rsidSect="004C703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A4160"/>
    <w:multiLevelType w:val="hybridMultilevel"/>
    <w:tmpl w:val="09EE4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4336A"/>
    <w:multiLevelType w:val="hybridMultilevel"/>
    <w:tmpl w:val="72F6B2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5513F"/>
    <w:multiLevelType w:val="hybridMultilevel"/>
    <w:tmpl w:val="E59AE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A05BF"/>
    <w:multiLevelType w:val="multilevel"/>
    <w:tmpl w:val="52A8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65200C"/>
    <w:multiLevelType w:val="multilevel"/>
    <w:tmpl w:val="687E3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631398"/>
    <w:multiLevelType w:val="hybridMultilevel"/>
    <w:tmpl w:val="9FCA89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516F4"/>
    <w:multiLevelType w:val="hybridMultilevel"/>
    <w:tmpl w:val="6ADCE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D402F"/>
    <w:multiLevelType w:val="multilevel"/>
    <w:tmpl w:val="07D4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844C6"/>
    <w:multiLevelType w:val="hybridMultilevel"/>
    <w:tmpl w:val="F9CA7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8648E"/>
    <w:multiLevelType w:val="multilevel"/>
    <w:tmpl w:val="B53E8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7D1ED0"/>
    <w:multiLevelType w:val="hybridMultilevel"/>
    <w:tmpl w:val="C8AE7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74A73"/>
    <w:multiLevelType w:val="hybridMultilevel"/>
    <w:tmpl w:val="AD447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B1908"/>
    <w:multiLevelType w:val="hybridMultilevel"/>
    <w:tmpl w:val="ED86ED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455C9"/>
    <w:multiLevelType w:val="multilevel"/>
    <w:tmpl w:val="A6B05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11"/>
  </w:num>
  <w:num w:numId="7">
    <w:abstractNumId w:val="6"/>
  </w:num>
  <w:num w:numId="8">
    <w:abstractNumId w:val="12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4A4"/>
    <w:rsid w:val="003704A4"/>
    <w:rsid w:val="004434BF"/>
    <w:rsid w:val="004C7032"/>
    <w:rsid w:val="004D1EB1"/>
    <w:rsid w:val="0092221B"/>
    <w:rsid w:val="00A06049"/>
    <w:rsid w:val="00DC1BAA"/>
    <w:rsid w:val="00DC43F8"/>
    <w:rsid w:val="00F9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5B6C0"/>
  <w15:chartTrackingRefBased/>
  <w15:docId w15:val="{D7ABD788-D261-4695-88EC-0A182018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1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F9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92898"/>
    <w:rPr>
      <w:b/>
      <w:bCs/>
    </w:rPr>
  </w:style>
  <w:style w:type="character" w:styleId="a4">
    <w:name w:val="Emphasis"/>
    <w:basedOn w:val="a0"/>
    <w:uiPriority w:val="20"/>
    <w:qFormat/>
    <w:rsid w:val="00F92898"/>
    <w:rPr>
      <w:i/>
      <w:iCs/>
    </w:rPr>
  </w:style>
  <w:style w:type="character" w:styleId="a5">
    <w:name w:val="Hyperlink"/>
    <w:basedOn w:val="a0"/>
    <w:uiPriority w:val="99"/>
    <w:unhideWhenUsed/>
    <w:rsid w:val="00F9289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D1EB1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DC1B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just.gov.ru/ru/activity/nko/foreignagent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promtorg.gov.ru/docs/letters/" TargetMode="External"/><Relationship Id="rId5" Type="http://schemas.openxmlformats.org/officeDocument/2006/relationships/hyperlink" Target="http://publication.pravo.gov.ru/Document/View/000120240514000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2</cp:revision>
  <dcterms:created xsi:type="dcterms:W3CDTF">2026-01-07T23:47:00Z</dcterms:created>
  <dcterms:modified xsi:type="dcterms:W3CDTF">2026-01-07T23:47:00Z</dcterms:modified>
</cp:coreProperties>
</file>