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AE7A" w14:textId="1DB52C54" w:rsidR="00080453" w:rsidRPr="00034B4D" w:rsidRDefault="00080453" w:rsidP="00080453">
      <w:pPr>
        <w:rPr>
          <w:b/>
          <w:bCs/>
          <w:sz w:val="28"/>
          <w:szCs w:val="28"/>
        </w:rPr>
      </w:pPr>
    </w:p>
    <w:p w14:paraId="70F268AC" w14:textId="191A1DDB" w:rsidR="00080453" w:rsidRPr="00034B4D" w:rsidRDefault="00080453" w:rsidP="0005471A">
      <w:pPr>
        <w:pStyle w:val="a3"/>
        <w:tabs>
          <w:tab w:val="left" w:leader="dot" w:pos="4491"/>
        </w:tabs>
        <w:jc w:val="center"/>
        <w:rPr>
          <w:b/>
          <w:bCs/>
          <w:spacing w:val="-10"/>
          <w:sz w:val="28"/>
          <w:szCs w:val="28"/>
        </w:rPr>
      </w:pPr>
      <w:r w:rsidRPr="00034B4D">
        <w:rPr>
          <w:b/>
          <w:bCs/>
          <w:sz w:val="28"/>
          <w:szCs w:val="28"/>
        </w:rPr>
        <w:t>«Евразийский экономический союз как полюс стабильности и развития в континентальной Евразии</w:t>
      </w:r>
      <w:r w:rsidRPr="00034B4D">
        <w:rPr>
          <w:b/>
          <w:bCs/>
          <w:spacing w:val="-10"/>
          <w:sz w:val="28"/>
          <w:szCs w:val="28"/>
        </w:rPr>
        <w:t>»</w:t>
      </w:r>
    </w:p>
    <w:p w14:paraId="5F21FFB4" w14:textId="77777777" w:rsidR="0005471A" w:rsidRPr="00034B4D" w:rsidRDefault="0005471A" w:rsidP="0005471A">
      <w:pPr>
        <w:pStyle w:val="a3"/>
        <w:tabs>
          <w:tab w:val="left" w:leader="dot" w:pos="4491"/>
        </w:tabs>
        <w:jc w:val="center"/>
        <w:rPr>
          <w:b/>
          <w:bCs/>
          <w:sz w:val="28"/>
          <w:szCs w:val="28"/>
        </w:rPr>
      </w:pPr>
    </w:p>
    <w:p w14:paraId="1EA691C3" w14:textId="64B0C21E" w:rsidR="00080453" w:rsidRPr="00034B4D" w:rsidRDefault="00080453" w:rsidP="00080453">
      <w:pPr>
        <w:pStyle w:val="a3"/>
        <w:tabs>
          <w:tab w:val="left" w:pos="7060"/>
          <w:tab w:val="left" w:pos="8500"/>
        </w:tabs>
        <w:spacing w:line="360" w:lineRule="auto"/>
        <w:ind w:firstLine="709"/>
        <w:jc w:val="both"/>
        <w:rPr>
          <w:sz w:val="28"/>
          <w:szCs w:val="28"/>
        </w:rPr>
      </w:pPr>
      <w:r w:rsidRPr="00034B4D">
        <w:rPr>
          <w:b/>
          <w:bCs/>
          <w:sz w:val="28"/>
          <w:szCs w:val="28"/>
        </w:rPr>
        <w:t>Аннотация.</w:t>
      </w:r>
      <w:r w:rsidRPr="00034B4D">
        <w:rPr>
          <w:sz w:val="28"/>
          <w:szCs w:val="28"/>
        </w:rPr>
        <w:t xml:space="preserve"> </w:t>
      </w:r>
      <w:r w:rsidR="00E82C82" w:rsidRPr="00034B4D">
        <w:rPr>
          <w:color w:val="212529"/>
          <w:sz w:val="28"/>
          <w:szCs w:val="28"/>
          <w:shd w:val="clear" w:color="auto" w:fill="FFFFFF"/>
        </w:rPr>
        <w:t>Актуальность исследования связана с ростом глобальных экономических кризисов и перестройкой мировых цепочек создания стоимости, что повышает роль региональных интеграционных объединений. Евразийский экономический сою</w:t>
      </w:r>
      <w:r w:rsidR="00D85661">
        <w:rPr>
          <w:color w:val="212529"/>
          <w:sz w:val="28"/>
          <w:szCs w:val="28"/>
          <w:shd w:val="clear" w:color="auto" w:fill="FFFFFF"/>
        </w:rPr>
        <w:t xml:space="preserve">за </w:t>
      </w:r>
      <w:r w:rsidR="00E82C82" w:rsidRPr="00034B4D">
        <w:rPr>
          <w:color w:val="212529"/>
          <w:sz w:val="28"/>
          <w:szCs w:val="28"/>
          <w:shd w:val="clear" w:color="auto" w:fill="FFFFFF"/>
        </w:rPr>
        <w:t xml:space="preserve">рассматривается как один из потенциальных центров стабильности и развития в Евразии. Цель статьи — проанализировать роль ЕАЭС в обеспечении стабильности и стимулировании развития макрорегиона через призму теории </w:t>
      </w:r>
      <w:proofErr w:type="spellStart"/>
      <w:r w:rsidR="00E82C82" w:rsidRPr="00034B4D">
        <w:rPr>
          <w:color w:val="212529"/>
          <w:sz w:val="28"/>
          <w:szCs w:val="28"/>
          <w:shd w:val="clear" w:color="auto" w:fill="FFFFFF"/>
        </w:rPr>
        <w:t>неофункционализма</w:t>
      </w:r>
      <w:proofErr w:type="spellEnd"/>
      <w:r w:rsidR="00E82C82" w:rsidRPr="00034B4D">
        <w:rPr>
          <w:color w:val="212529"/>
          <w:sz w:val="28"/>
          <w:szCs w:val="28"/>
          <w:shd w:val="clear" w:color="auto" w:fill="FFFFFF"/>
        </w:rPr>
        <w:t xml:space="preserve"> и комплексной оценки его институционально-правовых и экономических механизмов. Основной вывод: несмотря на системные вызовы, ЕАЭС обладает потенциалом для формирования устойчивого полюса развития на основе </w:t>
      </w:r>
      <w:proofErr w:type="spellStart"/>
      <w:r w:rsidR="00E82C82" w:rsidRPr="00034B4D">
        <w:rPr>
          <w:color w:val="212529"/>
          <w:sz w:val="28"/>
          <w:szCs w:val="28"/>
          <w:shd w:val="clear" w:color="auto" w:fill="FFFFFF"/>
        </w:rPr>
        <w:t>многовекторности</w:t>
      </w:r>
      <w:proofErr w:type="spellEnd"/>
      <w:r w:rsidR="00E82C82" w:rsidRPr="00034B4D">
        <w:rPr>
          <w:color w:val="212529"/>
          <w:sz w:val="28"/>
          <w:szCs w:val="28"/>
          <w:shd w:val="clear" w:color="auto" w:fill="FFFFFF"/>
        </w:rPr>
        <w:t>, импортозамещения и развития трансконтинентальных коридоров.</w:t>
      </w:r>
    </w:p>
    <w:p w14:paraId="245B41BC" w14:textId="4C927442" w:rsidR="00080453" w:rsidRDefault="00080453" w:rsidP="00AD06F6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b/>
          <w:bCs/>
          <w:color w:val="212529"/>
          <w:sz w:val="28"/>
          <w:szCs w:val="28"/>
          <w:shd w:val="clear" w:color="auto" w:fill="FFFFFF"/>
        </w:rPr>
        <w:t>Ключевые слова:</w:t>
      </w:r>
      <w:r w:rsidRPr="00034B4D">
        <w:rPr>
          <w:color w:val="212529"/>
          <w:sz w:val="28"/>
          <w:szCs w:val="28"/>
          <w:shd w:val="clear" w:color="auto" w:fill="FFFFFF"/>
        </w:rPr>
        <w:t xml:space="preserve"> Евразийский экономический союз, региональная интеграция, экономическое развитие, евразийская интеграция, таможенный союз, международные экономические организации.</w:t>
      </w:r>
    </w:p>
    <w:p w14:paraId="1D713CD9" w14:textId="77777777" w:rsidR="00AD06F6" w:rsidRPr="00AD06F6" w:rsidRDefault="00AD06F6" w:rsidP="00AD06F6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</w:p>
    <w:p w14:paraId="5BF59100" w14:textId="77777777" w:rsidR="00080453" w:rsidRPr="00034B4D" w:rsidRDefault="00080453" w:rsidP="00080453">
      <w:pPr>
        <w:pStyle w:val="a9"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color w:val="212529"/>
          <w:sz w:val="28"/>
          <w:szCs w:val="28"/>
          <w:shd w:val="clear" w:color="auto" w:fill="FFFFFF"/>
        </w:rPr>
      </w:pPr>
      <w:r w:rsidRPr="00034B4D">
        <w:rPr>
          <w:b/>
          <w:bCs/>
          <w:i/>
          <w:iCs/>
          <w:color w:val="212529"/>
          <w:sz w:val="28"/>
          <w:szCs w:val="28"/>
          <w:shd w:val="clear" w:color="auto" w:fill="FFFFFF"/>
        </w:rPr>
        <w:t>ИНСТИТУЦИОНАЛЬНАЯ АРХИТЕКТУРА ЕАЭС: МОДЕЛЬ «УПРАВЛЯЕМОЙ НАДНАЦИОНАЛЬНОСТИ»</w:t>
      </w:r>
    </w:p>
    <w:p w14:paraId="510A1DAB" w14:textId="53BD9E29" w:rsidR="00EE48C9" w:rsidRPr="00034B4D" w:rsidRDefault="00EE48C9" w:rsidP="00EE48C9">
      <w:pPr>
        <w:spacing w:line="360" w:lineRule="auto"/>
        <w:ind w:firstLine="709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 xml:space="preserve">Евразийский экономический союз является международной организацией региональной экономической интеграции, основанной на Договоре 2014 года. Институциональная структура Союза представляет собой сложный баланс, сочетающий элементы наднационального управления с сохранением ключевых прерогатив национального суверенитета. Эта модель, часто определяемая как «управляемая </w:t>
      </w:r>
      <w:proofErr w:type="spellStart"/>
      <w:r w:rsidRPr="00034B4D">
        <w:rPr>
          <w:color w:val="212529"/>
          <w:sz w:val="28"/>
          <w:szCs w:val="28"/>
          <w:shd w:val="clear" w:color="auto" w:fill="FFFFFF"/>
        </w:rPr>
        <w:t>наднациональность</w:t>
      </w:r>
      <w:proofErr w:type="spellEnd"/>
      <w:r w:rsidRPr="00034B4D">
        <w:rPr>
          <w:color w:val="212529"/>
          <w:sz w:val="28"/>
          <w:szCs w:val="28"/>
          <w:shd w:val="clear" w:color="auto" w:fill="FFFFFF"/>
        </w:rPr>
        <w:t>», была сформирована с учетом как опыта других интеграционных объединений, так и специфических политико-экономических условий постсоветского пространства, где вопросы делегирования полномочий остаются особенно чувствительными.</w:t>
      </w:r>
      <w:r w:rsidRPr="00034B4D">
        <w:rPr>
          <w:color w:val="212529"/>
          <w:sz w:val="28"/>
          <w:szCs w:val="28"/>
        </w:rPr>
        <w:t xml:space="preserve"> </w:t>
      </w:r>
    </w:p>
    <w:p w14:paraId="7E9CC198" w14:textId="0CE4DC05" w:rsidR="00F402C5" w:rsidRDefault="00F402C5" w:rsidP="00EE48C9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F402C5">
        <w:rPr>
          <w:color w:val="212529"/>
          <w:sz w:val="28"/>
          <w:szCs w:val="28"/>
          <w:shd w:val="clear" w:color="auto" w:fill="FFFFFF"/>
        </w:rPr>
        <w:t xml:space="preserve">Институциональная основа ЕАЭС состоит из трёх главных органов. Высший </w:t>
      </w:r>
      <w:r w:rsidRPr="00F402C5">
        <w:rPr>
          <w:color w:val="212529"/>
          <w:sz w:val="28"/>
          <w:szCs w:val="28"/>
          <w:shd w:val="clear" w:color="auto" w:fill="FFFFFF"/>
        </w:rPr>
        <w:lastRenderedPageBreak/>
        <w:t>совет глав государств определяет стратегию, действуя на основе консенсуса, что гарантирует равноправие всех пяти членов, но иногда замедляет принятие решений. Исполнительные функции выполняет Евразийская экономическая комиссия — наднациональный орган, отвечающий за техническое регулирование, таможенный тариф и конкурентную политику, хотя её полномочия уже, чем у аналогичных органов ЕС. Суд ЕАЭС обеспечивает единое применение права и разрешает споры, способствуя созданию стабильной правовой среды.</w:t>
      </w:r>
    </w:p>
    <w:p w14:paraId="0FA572A4" w14:textId="76CB6CB4" w:rsidR="00CD4155" w:rsidRPr="00CD4155" w:rsidRDefault="00CD4155" w:rsidP="00EE48C9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CD4155">
        <w:rPr>
          <w:color w:val="212529"/>
          <w:sz w:val="28"/>
          <w:szCs w:val="28"/>
          <w:shd w:val="clear" w:color="auto" w:fill="FFFFFF"/>
        </w:rPr>
        <w:t xml:space="preserve">Модель «управляемой </w:t>
      </w:r>
      <w:proofErr w:type="spellStart"/>
      <w:r w:rsidRPr="00CD4155">
        <w:rPr>
          <w:color w:val="212529"/>
          <w:sz w:val="28"/>
          <w:szCs w:val="28"/>
          <w:shd w:val="clear" w:color="auto" w:fill="FFFFFF"/>
        </w:rPr>
        <w:t>наднациональности</w:t>
      </w:r>
      <w:proofErr w:type="spellEnd"/>
      <w:r w:rsidRPr="00CD4155">
        <w:rPr>
          <w:color w:val="212529"/>
          <w:sz w:val="28"/>
          <w:szCs w:val="28"/>
          <w:shd w:val="clear" w:color="auto" w:fill="FFFFFF"/>
        </w:rPr>
        <w:t>» в ЕАЭС отличается тремя чертами. Во-первых, принцип консенсуса на высшем уровне учитывает интересы всех, но замедляет реформы. Во-вторых, полномочия наднациональной ЕЭК строго ограничены экономическими сферами, что защищает суверенитет стран. В-третьих, решения Союза внедряются через национальные законы, обеспечивая гармонизацию с гибкостью. Эта конструкция стабилизирует объединение, предотвращая доминирование крупных участников и кризисы, но ограничивает динамичную интеграцию. Каждый шаг вперёд требует долгих переговоров для согласования разных интересов, что делает развитие ЕАЭС постепенным и осторожным.</w:t>
      </w:r>
    </w:p>
    <w:p w14:paraId="0A3A117E" w14:textId="4DDEC6EE" w:rsidR="00080453" w:rsidRPr="00034B4D" w:rsidRDefault="00080453" w:rsidP="00080453">
      <w:pPr>
        <w:pStyle w:val="a9"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color w:val="212529"/>
          <w:sz w:val="28"/>
          <w:szCs w:val="28"/>
          <w:shd w:val="clear" w:color="auto" w:fill="FFFFFF"/>
        </w:rPr>
      </w:pPr>
      <w:r w:rsidRPr="00034B4D">
        <w:rPr>
          <w:b/>
          <w:bCs/>
          <w:i/>
          <w:iCs/>
          <w:color w:val="212529"/>
          <w:sz w:val="28"/>
          <w:szCs w:val="28"/>
          <w:shd w:val="clear" w:color="auto" w:fill="FFFFFF"/>
        </w:rPr>
        <w:t>ЕАЭС КАК ПОЛЮС СТАБИЛЬНОСТИ И РАЗВИТИЯ В КОНТИНЕНТАЛЬНОЙ ЕВРАЗИИ</w:t>
      </w:r>
    </w:p>
    <w:p w14:paraId="3A223FCE" w14:textId="77777777" w:rsidR="0055078E" w:rsidRDefault="00A23D3A" w:rsidP="0055078E">
      <w:pPr>
        <w:spacing w:line="360" w:lineRule="auto"/>
        <w:ind w:firstLine="567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>Создание ЕАЭС было направлено на формирование устойчивой экономической платформы, способной противостоять глобальным кризисам. Период конца 2010-х – начала 2020-х годов стал для Союза серьёзным испытанием, выявившим как его уязвимости, так и адаптационный потенциал. Анализ макроэкономических показателей за 2019–2023 гг. демонстрирует эффективность реакции ЕАЭС на пандемию COVID-19 и внешнеторговое давление. Ключевую роль в адаптации сыграло ускоренное внедрение цифрового механизма «единого окна» во внешнеэкономической деятельности, который сократил транзакционные издержки и стал драйвером роста торговли.</w:t>
      </w:r>
    </w:p>
    <w:p w14:paraId="743AE6A0" w14:textId="76F363F0" w:rsidR="0055078E" w:rsidRDefault="00A23D3A" w:rsidP="0055078E">
      <w:pPr>
        <w:spacing w:line="360" w:lineRule="auto"/>
        <w:ind w:firstLine="567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 xml:space="preserve">Кризис 2020 года привёл к глубокому спаду: реальный ВВП сократился на 2, 7%, номинальный — на 11, 1%, промышленное производство упало на 2, 0%, а </w:t>
      </w:r>
      <w:r w:rsidRPr="00034B4D">
        <w:rPr>
          <w:color w:val="212529"/>
          <w:sz w:val="28"/>
          <w:szCs w:val="28"/>
          <w:shd w:val="clear" w:color="auto" w:fill="FFFFFF"/>
        </w:rPr>
        <w:lastRenderedPageBreak/>
        <w:t xml:space="preserve">инвестиции в основной капитал — на 1, 2%. </w:t>
      </w:r>
      <w:r w:rsidR="00036D40">
        <w:rPr>
          <w:rStyle w:val="a8"/>
          <w:color w:val="212529"/>
          <w:sz w:val="28"/>
          <w:szCs w:val="28"/>
          <w:shd w:val="clear" w:color="auto" w:fill="FFFFFF"/>
        </w:rPr>
        <w:footnoteReference w:id="1"/>
      </w:r>
      <w:r w:rsidRPr="00034B4D">
        <w:rPr>
          <w:color w:val="212529"/>
          <w:sz w:val="28"/>
          <w:szCs w:val="28"/>
          <w:shd w:val="clear" w:color="auto" w:fill="FFFFFF"/>
        </w:rPr>
        <w:t xml:space="preserve">Экспорт в третьи страны обвалился на 20, 8%, а взаимная торговля уменьшилась на 10, 6%. Социальные последствия включали рост безработицы до 5, 8% и усиление инфляции. </w:t>
      </w:r>
      <w:r w:rsidR="00F65A68">
        <w:rPr>
          <w:rStyle w:val="a8"/>
          <w:color w:val="212529"/>
          <w:sz w:val="28"/>
          <w:szCs w:val="28"/>
          <w:shd w:val="clear" w:color="auto" w:fill="FFFFFF"/>
        </w:rPr>
        <w:footnoteReference w:id="2"/>
      </w:r>
      <w:r w:rsidRPr="00034B4D">
        <w:rPr>
          <w:color w:val="212529"/>
          <w:sz w:val="28"/>
          <w:szCs w:val="28"/>
          <w:shd w:val="clear" w:color="auto" w:fill="FFFFFF"/>
        </w:rPr>
        <w:t>Именно в этих условиях цифровизация таможенных процедур через национальные порталы «единого окна» предотвратила полную парализацию ВЭД, обеспечила непрерывность цепочек поставок и позволила внутреннему рынку Союза выступить в роли амортизатора внешних шоков.</w:t>
      </w:r>
    </w:p>
    <w:p w14:paraId="00A8D640" w14:textId="6E3B6A52" w:rsidR="0055078E" w:rsidRDefault="00A23D3A" w:rsidP="0055078E">
      <w:pPr>
        <w:spacing w:line="360" w:lineRule="auto"/>
        <w:ind w:firstLine="567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>Последующий период (2021–2023 гг.) показал впечатляющую способность экономик ЕАЭС к скоординированному восстановлению. Уже в 2021 году наблюдался мощный отскок: реальный ВВП вырос на 5, 6%, промышленное производство — на 6, 1%, инвестиции — на 7, 6%. К 2022 году номинальный ВВП и экспорт достигли рекордных значений. Этот рост коррелировал с прогрессом в цифровизации: уровень внедрения мер «единого окна» в странах ЕАЭС вырос до 62–85%. Национальные платформы (такие как «АСТАНА-1» в Казахстане, «Мой экспорт» в России) обеспечили электронное декларирование и упростили процедуры, способствуя восстановлению взаимной торговли до 73, 2 млрд долларов в 2022 году.</w:t>
      </w:r>
      <w:r w:rsidR="003071AB">
        <w:rPr>
          <w:rStyle w:val="a8"/>
          <w:color w:val="212529"/>
          <w:sz w:val="28"/>
          <w:szCs w:val="28"/>
          <w:shd w:val="clear" w:color="auto" w:fill="FFFFFF"/>
        </w:rPr>
        <w:footnoteReference w:id="3"/>
      </w:r>
    </w:p>
    <w:p w14:paraId="7ECDDFA9" w14:textId="0737BF0C" w:rsidR="00A23D3A" w:rsidRPr="0055078E" w:rsidRDefault="00A23D3A" w:rsidP="0055078E">
      <w:pPr>
        <w:spacing w:line="360" w:lineRule="auto"/>
        <w:ind w:firstLine="567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>Таким образом, несмотря на серьёзные вызовы, ЕАЭС продемонстрировал высокую адаптивность и способность к быстрому восстановлению. Опыт кризиса подтвердил критическую роль цифровой трансформации для устойчивости Союза. Ключевой задачей на будущее остается преодоление разрыва между национальной и трансграничной цифровой торговлей, что необходимо для полной реализации интеграционного потенциала ЕАЭС.</w:t>
      </w:r>
    </w:p>
    <w:p w14:paraId="0775CDFB" w14:textId="4E61FBCE" w:rsidR="00AF3116" w:rsidRPr="00034B4D" w:rsidRDefault="00AF3116" w:rsidP="00AF3116">
      <w:pPr>
        <w:spacing w:line="360" w:lineRule="auto"/>
        <w:ind w:left="709"/>
        <w:jc w:val="both"/>
        <w:rPr>
          <w:b/>
          <w:bCs/>
          <w:i/>
          <w:iCs/>
          <w:color w:val="212529"/>
          <w:sz w:val="28"/>
          <w:szCs w:val="28"/>
          <w:shd w:val="clear" w:color="auto" w:fill="FFFFFF"/>
        </w:rPr>
      </w:pPr>
    </w:p>
    <w:p w14:paraId="71763AEC" w14:textId="77777777" w:rsidR="00080453" w:rsidRPr="00034B4D" w:rsidRDefault="00080453" w:rsidP="00080453">
      <w:pPr>
        <w:pStyle w:val="a9"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color w:val="212529"/>
          <w:sz w:val="28"/>
          <w:szCs w:val="28"/>
          <w:shd w:val="clear" w:color="auto" w:fill="FFFFFF"/>
        </w:rPr>
      </w:pPr>
      <w:r w:rsidRPr="00034B4D">
        <w:rPr>
          <w:b/>
          <w:bCs/>
          <w:i/>
          <w:iCs/>
          <w:color w:val="212529"/>
          <w:sz w:val="28"/>
          <w:szCs w:val="28"/>
          <w:shd w:val="clear" w:color="auto" w:fill="FFFFFF"/>
        </w:rPr>
        <w:t xml:space="preserve">РОЛЬ ЕАЭС В ФОРМИРОВАНИИ НОВОЙ АРХИТЕКТУРЫ </w:t>
      </w:r>
      <w:r w:rsidRPr="00034B4D">
        <w:rPr>
          <w:b/>
          <w:bCs/>
          <w:i/>
          <w:iCs/>
          <w:color w:val="212529"/>
          <w:sz w:val="28"/>
          <w:szCs w:val="28"/>
          <w:shd w:val="clear" w:color="auto" w:fill="FFFFFF"/>
        </w:rPr>
        <w:lastRenderedPageBreak/>
        <w:t>БЕЗОПАСНОСТИ И РАЗВИТИЯ В ЕВРАЗИИ</w:t>
      </w:r>
    </w:p>
    <w:p w14:paraId="5FBF751B" w14:textId="77777777" w:rsidR="00080453" w:rsidRPr="00034B4D" w:rsidRDefault="00080453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color w:val="212529"/>
          <w:sz w:val="28"/>
          <w:szCs w:val="28"/>
          <w:shd w:val="clear" w:color="auto" w:fill="FFFFFF"/>
        </w:rPr>
        <w:t>Евразийский экономический союз не просто сохранил свою жизнеспособность в условиях глобальной турбулентности, но и трансформировался в реальный полюс стабильности и развития в континентальной Евразии. Эта роль подтверждается его устойчивостью к внешним шокам, способностью к адаптации и закреплением за ним функции важного геоэкономического и геостратегического центра силы.</w:t>
      </w:r>
    </w:p>
    <w:p w14:paraId="4EFC72EF" w14:textId="46041C98" w:rsidR="00080453" w:rsidRPr="00034B4D" w:rsidRDefault="00080453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color w:val="212529"/>
          <w:sz w:val="28"/>
          <w:szCs w:val="28"/>
          <w:shd w:val="clear" w:color="auto" w:fill="FFFFFF"/>
        </w:rPr>
        <w:t>Вопреки многочисленным прогнозам о неизбежном крахе под беспрецедентным санкционным давлением, экономики стран Евразийского экономического союза не только выстояли, но и продемонстрировали впечатляющую способность к адаптации и восстановлению. Как верно отмечается в аналитической статье, санкции «не привели к предрекаемому краху экономики ЕАЭС, а, наоборот, научили развивать свой бизнес без оглядки на одобрение или порицание западных партнёров».</w:t>
      </w:r>
      <w:r w:rsidRPr="00034B4D">
        <w:rPr>
          <w:rStyle w:val="a8"/>
          <w:color w:val="212529"/>
          <w:sz w:val="28"/>
          <w:szCs w:val="28"/>
          <w:shd w:val="clear" w:color="auto" w:fill="FFFFFF"/>
        </w:rPr>
        <w:footnoteReference w:id="4"/>
      </w:r>
      <w:r w:rsidRPr="00034B4D">
        <w:rPr>
          <w:color w:val="212529"/>
          <w:sz w:val="28"/>
          <w:szCs w:val="28"/>
          <w:shd w:val="clear" w:color="auto" w:fill="FFFFFF"/>
        </w:rPr>
        <w:t xml:space="preserve"> Эта устойчивость была обеспечена не только прямой взаимной поддержкой, как в случае Беларуси и России, где твёрдая позиция Минска привела к распространению на него «антироссийских» санкций, но и ответной поддержкой Москвы, позволившей «минимизировать отрицательный эффект и переориентировать экспортные потоки». Более того, беспрецедентное внешнее давление активизировало «второе дыхание интеграции: появился запрос на более стремительную тесную кооперацию и опору на собственные силы».</w:t>
      </w:r>
    </w:p>
    <w:p w14:paraId="0DB85092" w14:textId="77777777" w:rsidR="000F4463" w:rsidRPr="000F4463" w:rsidRDefault="000F4463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F4463">
        <w:rPr>
          <w:color w:val="212529"/>
          <w:sz w:val="28"/>
          <w:szCs w:val="28"/>
          <w:shd w:val="clear" w:color="auto" w:fill="FFFFFF"/>
        </w:rPr>
        <w:t xml:space="preserve">Ключевым индикатором трансформации экономик ЕАЭС стал рекордный двузначный рост инвестиций в основной капитал, что указывает на долгосрочные вложения в новую производственную базу. В </w:t>
      </w:r>
      <w:proofErr w:type="spellStart"/>
      <w:r w:rsidRPr="000F4463">
        <w:rPr>
          <w:color w:val="212529"/>
          <w:sz w:val="28"/>
          <w:szCs w:val="28"/>
          <w:shd w:val="clear" w:color="auto" w:fill="FFFFFF"/>
        </w:rPr>
        <w:t>Беларусии</w:t>
      </w:r>
      <w:proofErr w:type="spellEnd"/>
      <w:r w:rsidRPr="000F4463">
        <w:rPr>
          <w:color w:val="212529"/>
          <w:sz w:val="28"/>
          <w:szCs w:val="28"/>
          <w:shd w:val="clear" w:color="auto" w:fill="FFFFFF"/>
        </w:rPr>
        <w:t xml:space="preserve">̆, несмотря на общее замедление роста, инвестиции выросли на 13, 6%, более чем наполовину за счёт машин и оборудования, что говорит о модернизации. Казахстан ускорил рост ВВП до 6, 3% благодаря инвестициям (+16, 1%), особенно в несырьевой сектор (+18, 8%). Кыргызстан демонстрирует взрывной рост инвестиций на 33, 4%, что стало ключевым драйвером рекордного роста ВВП (11, 5%). Таджикистан также поддерживает рост выше 8% за счёт высоких инвестиций (+21, 7%), </w:t>
      </w:r>
      <w:r w:rsidRPr="000F4463">
        <w:rPr>
          <w:color w:val="212529"/>
          <w:sz w:val="28"/>
          <w:szCs w:val="28"/>
          <w:shd w:val="clear" w:color="auto" w:fill="FFFFFF"/>
        </w:rPr>
        <w:lastRenderedPageBreak/>
        <w:t>сконцентрированных в энергетике и добыче. Этот общесоюзный бум демонстрирует адаптивность экономик: в ответ на внешние вызовы бизнес и государства перестраивают цепочки, создавая новые источники роста на основе внутренних ресурсов и кооперации, закладывая основу долгосрочной устойчивости.</w:t>
      </w:r>
    </w:p>
    <w:p w14:paraId="25D31BED" w14:textId="25BAE38D" w:rsidR="00DB2981" w:rsidRPr="00DB2981" w:rsidRDefault="00DB2981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DB2981">
        <w:rPr>
          <w:color w:val="212529"/>
          <w:sz w:val="28"/>
          <w:szCs w:val="28"/>
          <w:shd w:val="clear" w:color="auto" w:fill="FFFFFF"/>
        </w:rPr>
        <w:t>ЕАЭС укрепляет позиции как самостоятельный центр силы. Стратегической целью до 2045 года является превращение в «самодостаточный, гармонично развитый макрорегион с экономико-технологическим лидерством».</w:t>
      </w:r>
      <w:r w:rsidRPr="00DB2981">
        <w:rPr>
          <w:color w:val="212529"/>
          <w:sz w:val="28"/>
          <w:szCs w:val="28"/>
        </w:rPr>
        <w:br/>
      </w:r>
      <w:r w:rsidRPr="00DB2981">
        <w:rPr>
          <w:color w:val="212529"/>
          <w:sz w:val="28"/>
          <w:szCs w:val="28"/>
          <w:shd w:val="clear" w:color="auto" w:fill="FFFFFF"/>
        </w:rPr>
        <w:t xml:space="preserve">Этот курс реализуется через </w:t>
      </w:r>
      <w:proofErr w:type="spellStart"/>
      <w:r w:rsidRPr="00DB2981">
        <w:rPr>
          <w:color w:val="212529"/>
          <w:sz w:val="28"/>
          <w:szCs w:val="28"/>
          <w:shd w:val="clear" w:color="auto" w:fill="FFFFFF"/>
        </w:rPr>
        <w:t>многовекторную</w:t>
      </w:r>
      <w:proofErr w:type="spellEnd"/>
      <w:r w:rsidRPr="00DB2981">
        <w:rPr>
          <w:color w:val="212529"/>
          <w:sz w:val="28"/>
          <w:szCs w:val="28"/>
          <w:shd w:val="clear" w:color="auto" w:fill="FFFFFF"/>
        </w:rPr>
        <w:t xml:space="preserve"> политику и углубление внешнего сотрудничества. В условиях глобальной фрагментации ЕАЭС становится естественным ядром притяжения для соседних экономик. Таким образом, Союз формирует в Евразии новую архитектуру экономической безопасности и сотрудничества на основе взаимной выгоды, создавая фундамент для долгосрочного устойчивого развития.</w:t>
      </w:r>
    </w:p>
    <w:p w14:paraId="1D288D8C" w14:textId="4538852B" w:rsidR="00080595" w:rsidRPr="00566F5F" w:rsidRDefault="00566F5F" w:rsidP="00566F5F">
      <w:pPr>
        <w:spacing w:line="360" w:lineRule="auto"/>
        <w:ind w:firstLine="709"/>
        <w:jc w:val="both"/>
        <w:rPr>
          <w:rFonts w:ascii="Roboto" w:hAnsi="Roboto"/>
          <w:color w:val="212529"/>
          <w:sz w:val="18"/>
          <w:szCs w:val="18"/>
          <w:shd w:val="clear" w:color="auto" w:fill="FFFFFF"/>
        </w:rPr>
      </w:pPr>
      <w:r w:rsidRPr="00566F5F">
        <w:rPr>
          <w:color w:val="212529"/>
          <w:sz w:val="28"/>
          <w:szCs w:val="28"/>
          <w:shd w:val="clear" w:color="auto" w:fill="FFFFFF"/>
        </w:rPr>
        <w:t>Санкции стали катализатором интеграции ЕАЭС, стимулировав кооперацию и опору на собственные силы. На практике это подтверждается ростом взаимной торговли. Например, Беларусь нарастила экспорт в Россию: в 2022 году прирост составил 6, 6 млрд долларов США, а в 2023 году — ещё 2, 8 млрд долларов.</w:t>
      </w:r>
      <w:r>
        <w:rPr>
          <w:rFonts w:ascii="Roboto" w:hAnsi="Roboto"/>
          <w:color w:val="212529"/>
          <w:sz w:val="18"/>
          <w:szCs w:val="18"/>
          <w:shd w:val="clear" w:color="auto" w:fill="FFFFFF"/>
        </w:rPr>
        <w:t xml:space="preserve"> </w:t>
      </w:r>
      <w:r w:rsidR="003E0595">
        <w:rPr>
          <w:color w:val="212529"/>
          <w:sz w:val="28"/>
          <w:szCs w:val="28"/>
          <w:shd w:val="clear" w:color="auto" w:fill="FFFFFF"/>
        </w:rPr>
        <w:t>Т</w:t>
      </w:r>
      <w:r w:rsidR="00080453" w:rsidRPr="00034B4D">
        <w:rPr>
          <w:color w:val="212529"/>
          <w:sz w:val="28"/>
          <w:szCs w:val="28"/>
          <w:shd w:val="clear" w:color="auto" w:fill="FFFFFF"/>
        </w:rPr>
        <w:t>акие страны, как Армения и Кыргызстан, демонстрируют бурный экономический рост, поддерживаемый кооперацией в рамках Союза. Экономика Армении выросла на 5, 6% в первом полугодии 2025 года, а Кыргызстана — на 11, 5% за январь–июль. Рост в Армении был обеспечен сектором услуг, включая финансовую деятельность и информацию связь (+17, 3% и +18, 3% соответственно), а также строительством (+20, 8%)</w:t>
      </w:r>
      <w:r w:rsidR="00080453" w:rsidRPr="00034B4D">
        <w:rPr>
          <w:rStyle w:val="a8"/>
          <w:color w:val="212529"/>
          <w:sz w:val="28"/>
          <w:szCs w:val="28"/>
          <w:shd w:val="clear" w:color="auto" w:fill="FFFFFF"/>
        </w:rPr>
        <w:footnoteReference w:id="5"/>
      </w:r>
      <w:r w:rsidR="00080453" w:rsidRPr="00034B4D">
        <w:rPr>
          <w:color w:val="212529"/>
          <w:sz w:val="28"/>
          <w:szCs w:val="28"/>
          <w:shd w:val="clear" w:color="auto" w:fill="FFFFFF"/>
        </w:rPr>
        <w:t xml:space="preserve">. В Кыргызстане ключевую роль сыграли инвестиции, выросшие на 33, 4%, что создало импульс в строительном секторе (+37, 8%), промышленности (+11, 3%) и транспорте (+8, 9%). </w:t>
      </w:r>
    </w:p>
    <w:p w14:paraId="207ADEBD" w14:textId="1880B83C" w:rsidR="00080453" w:rsidRPr="00080595" w:rsidRDefault="00080595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80595">
        <w:rPr>
          <w:color w:val="212529"/>
          <w:sz w:val="28"/>
          <w:szCs w:val="28"/>
          <w:shd w:val="clear" w:color="auto" w:fill="FFFFFF"/>
        </w:rPr>
        <w:t xml:space="preserve">Дополнительным стимулом роста, особенно для экономик с меньшим весом в ЕАЭС, стал чистый приток трансграничных переводов. Например, в Армении за январь–июль 2025 г. он вырос на 25, 9%. Это демонстрирует способность Союза </w:t>
      </w:r>
      <w:r w:rsidRPr="00080595">
        <w:rPr>
          <w:color w:val="212529"/>
          <w:sz w:val="28"/>
          <w:szCs w:val="28"/>
          <w:shd w:val="clear" w:color="auto" w:fill="FFFFFF"/>
        </w:rPr>
        <w:lastRenderedPageBreak/>
        <w:t>трансформировать внешние вызовы в импульсы для внутреннего развития и кооперации.</w:t>
      </w:r>
    </w:p>
    <w:p w14:paraId="6B6907C9" w14:textId="7C57D9A4" w:rsidR="00080453" w:rsidRPr="003D0ABB" w:rsidRDefault="003D0ABB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3D0ABB">
        <w:rPr>
          <w:color w:val="212529"/>
          <w:sz w:val="28"/>
          <w:szCs w:val="28"/>
          <w:shd w:val="clear" w:color="auto" w:fill="FFFFFF"/>
        </w:rPr>
        <w:t>ЕАЭС доказал свою состоятельность, основываясь на общих интересах и взаимной выгоде. Он служит буфером против глобальных кризисов и драйвером развития для участников. Прочная экономика, рост инвестиций и общее стратегическое видение формируют новый геоэкономический полюс в Евразии. Его укрепление, в том числе через научное и гуманитарное сотрудничество, — ключ к устойчивости и конкурентоспособности региона.</w:t>
      </w:r>
    </w:p>
    <w:p w14:paraId="375C9A6A" w14:textId="77777777" w:rsidR="00080453" w:rsidRPr="00034B4D" w:rsidRDefault="00080453" w:rsidP="00080453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4B4D">
        <w:rPr>
          <w:b/>
          <w:bCs/>
          <w:i/>
          <w:iCs/>
          <w:sz w:val="28"/>
          <w:szCs w:val="28"/>
        </w:rPr>
        <w:t>ЗАКЛЮЧЕНИЕ</w:t>
      </w:r>
    </w:p>
    <w:p w14:paraId="67C1C209" w14:textId="77777777" w:rsidR="00871DDB" w:rsidRPr="00034B4D" w:rsidRDefault="00871DDB" w:rsidP="00080453">
      <w:pPr>
        <w:spacing w:line="360" w:lineRule="auto"/>
        <w:ind w:firstLine="709"/>
        <w:jc w:val="both"/>
        <w:rPr>
          <w:color w:val="212529"/>
          <w:sz w:val="28"/>
          <w:szCs w:val="28"/>
        </w:rPr>
      </w:pPr>
      <w:r w:rsidRPr="00034B4D">
        <w:rPr>
          <w:color w:val="212529"/>
          <w:sz w:val="28"/>
          <w:szCs w:val="28"/>
          <w:shd w:val="clear" w:color="auto" w:fill="FFFFFF"/>
        </w:rPr>
        <w:t xml:space="preserve">Проведенное исследование позволяет сделать вывод о том, что Евразийский экономический союз (ЕАЭС) не только успешно преодолел вызовы глобальной турбулентности, но и сформировался как устойчивый полюс стабильности и развития в континентальной Евразии. Модель «управляемой </w:t>
      </w:r>
      <w:proofErr w:type="spellStart"/>
      <w:r w:rsidRPr="00034B4D">
        <w:rPr>
          <w:color w:val="212529"/>
          <w:sz w:val="28"/>
          <w:szCs w:val="28"/>
          <w:shd w:val="clear" w:color="auto" w:fill="FFFFFF"/>
        </w:rPr>
        <w:t>наднациональности</w:t>
      </w:r>
      <w:proofErr w:type="spellEnd"/>
      <w:r w:rsidRPr="00034B4D">
        <w:rPr>
          <w:color w:val="212529"/>
          <w:sz w:val="28"/>
          <w:szCs w:val="28"/>
          <w:shd w:val="clear" w:color="auto" w:fill="FFFFFF"/>
        </w:rPr>
        <w:t>» доказала свою эффективность в обеспечении политической стабильности и защите суверенитета всех государств-членов. Принцип консенсуса, хотя и ограничивающий оперативность решений, создал основу доверия между участниками, а чётко ограниченные полномочия Евразийской экономической комиссии позволили гармонизировать интеграционные процессы, сохранив значительный объем регулятивных функций на национальном уровне.</w:t>
      </w:r>
    </w:p>
    <w:p w14:paraId="6E71D800" w14:textId="77777777" w:rsidR="004C66BB" w:rsidRPr="004C66BB" w:rsidRDefault="004C66BB" w:rsidP="00080453">
      <w:pPr>
        <w:spacing w:line="360" w:lineRule="auto"/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4C66BB">
        <w:rPr>
          <w:color w:val="212529"/>
          <w:sz w:val="28"/>
          <w:szCs w:val="28"/>
          <w:shd w:val="clear" w:color="auto" w:fill="FFFFFF"/>
        </w:rPr>
        <w:t>ЕАЭС показал способность к скоординированному восстановлению. Рост инвестиций и их переориентация на несырьевые сектора говорят о структурных изменениях. Ключевую роль сыграли цифровые платформы «единого окна». Внутренний рынок смягчил удар: спад взаимной торговли (-10, 6%) был меньше, чем экспорта в третьи страны (-20, 8%). Санкции стали катализатором интеграции, стимулировав импортозамещение и кооперацию. Положительный эффект ощущают все страны, включая Армению и Кыргызстан, что подтверждает выгоды Союза для всех участников.</w:t>
      </w:r>
    </w:p>
    <w:p w14:paraId="209886E9" w14:textId="7E892588" w:rsidR="00C203D6" w:rsidRDefault="00C203D6" w:rsidP="00080453">
      <w:pPr>
        <w:spacing w:line="360" w:lineRule="auto"/>
        <w:ind w:firstLine="709"/>
        <w:jc w:val="both"/>
        <w:rPr>
          <w:rFonts w:ascii="Roboto" w:hAnsi="Roboto"/>
          <w:color w:val="212529"/>
          <w:sz w:val="18"/>
          <w:szCs w:val="18"/>
          <w:shd w:val="clear" w:color="auto" w:fill="FFFFFF"/>
        </w:rPr>
      </w:pPr>
      <w:r w:rsidRPr="00C203D6">
        <w:rPr>
          <w:color w:val="212529"/>
          <w:sz w:val="28"/>
          <w:szCs w:val="28"/>
          <w:shd w:val="clear" w:color="auto" w:fill="FFFFFF"/>
        </w:rPr>
        <w:t xml:space="preserve">Таким образом, ЕАЭС стал самодостаточным центром силы, выполняющим двойную функцию: буфера против глобальных кризисов и драйвера внутреннего развития. Перспективы связаны с углублением цифровой и научно-технологической </w:t>
      </w:r>
      <w:r w:rsidRPr="00C203D6">
        <w:rPr>
          <w:color w:val="212529"/>
          <w:sz w:val="28"/>
          <w:szCs w:val="28"/>
          <w:shd w:val="clear" w:color="auto" w:fill="FFFFFF"/>
        </w:rPr>
        <w:lastRenderedPageBreak/>
        <w:t>интеграции, что обеспечит долгосрочную конкурентоспособность в Евразии</w:t>
      </w:r>
      <w:r>
        <w:rPr>
          <w:rFonts w:ascii="Roboto" w:hAnsi="Roboto"/>
          <w:color w:val="212529"/>
          <w:sz w:val="18"/>
          <w:szCs w:val="18"/>
          <w:shd w:val="clear" w:color="auto" w:fill="FFFFFF"/>
        </w:rPr>
        <w:t>.</w:t>
      </w:r>
    </w:p>
    <w:p w14:paraId="110DFC15" w14:textId="79111D28" w:rsidR="00080453" w:rsidRPr="00034B4D" w:rsidRDefault="00080453" w:rsidP="00080453">
      <w:pPr>
        <w:spacing w:line="360" w:lineRule="auto"/>
        <w:ind w:firstLine="709"/>
        <w:jc w:val="both"/>
        <w:rPr>
          <w:b/>
          <w:bCs/>
          <w:i/>
          <w:iCs/>
          <w:color w:val="212529"/>
          <w:sz w:val="28"/>
          <w:szCs w:val="28"/>
          <w:shd w:val="clear" w:color="auto" w:fill="FFFFFF"/>
        </w:rPr>
      </w:pPr>
      <w:r w:rsidRPr="00034B4D">
        <w:rPr>
          <w:b/>
          <w:bCs/>
          <w:i/>
          <w:iCs/>
          <w:color w:val="212529"/>
          <w:sz w:val="28"/>
          <w:szCs w:val="28"/>
          <w:shd w:val="clear" w:color="auto" w:fill="FFFFFF"/>
        </w:rPr>
        <w:t>Список литературы</w:t>
      </w:r>
    </w:p>
    <w:p w14:paraId="608C7331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color w:val="212529"/>
          <w:sz w:val="28"/>
          <w:szCs w:val="28"/>
          <w:shd w:val="clear" w:color="auto" w:fill="FFFFFF"/>
        </w:rPr>
        <w:t>Бордачев, Т. В. Проблемы и перспективы евразийской интеграции / Т. В. Бордачев Мировая экономика и международные отношения. 2023. № 8. С. 15-24.</w:t>
      </w:r>
    </w:p>
    <w:p w14:paraId="072BF62C" w14:textId="77777777" w:rsidR="00080453" w:rsidRPr="00034B4D" w:rsidRDefault="00080453" w:rsidP="00080453">
      <w:pPr>
        <w:pStyle w:val="a9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color w:val="212529"/>
          <w:sz w:val="28"/>
          <w:szCs w:val="28"/>
          <w:shd w:val="clear" w:color="auto" w:fill="FFFFFF"/>
        </w:rPr>
        <w:t>Юрова, Н. В. «</w:t>
      </w:r>
      <w:r w:rsidRPr="00034B4D">
        <w:rPr>
          <w:color w:val="000000" w:themeColor="text1"/>
          <w:sz w:val="28"/>
          <w:szCs w:val="28"/>
          <w:lang w:eastAsia="ru-RU"/>
        </w:rPr>
        <w:t>Укрепление содружества: как интеграция в рамках ЕАЭС помогает смягчить последствия геополитического кризиса</w:t>
      </w:r>
      <w:r w:rsidRPr="00034B4D">
        <w:rPr>
          <w:color w:val="212529"/>
          <w:sz w:val="28"/>
          <w:szCs w:val="28"/>
          <w:shd w:val="clear" w:color="auto" w:fill="FFFFFF"/>
        </w:rPr>
        <w:t xml:space="preserve">». – </w:t>
      </w:r>
      <w:r w:rsidRPr="00034B4D">
        <w:rPr>
          <w:color w:val="212529"/>
          <w:sz w:val="28"/>
          <w:szCs w:val="28"/>
          <w:shd w:val="clear" w:color="auto" w:fill="FFFFFF"/>
          <w:lang w:val="en-US"/>
        </w:rPr>
        <w:t>URL</w:t>
      </w:r>
      <w:r w:rsidRPr="00034B4D">
        <w:rPr>
          <w:color w:val="212529"/>
          <w:sz w:val="28"/>
          <w:szCs w:val="28"/>
          <w:shd w:val="clear" w:color="auto" w:fill="FFFFFF"/>
        </w:rPr>
        <w:t xml:space="preserve">: </w:t>
      </w:r>
      <w:hyperlink r:id="rId8" w:history="1">
        <w:r w:rsidRPr="00034B4D">
          <w:rPr>
            <w:rStyle w:val="a5"/>
            <w:sz w:val="28"/>
            <w:szCs w:val="28"/>
            <w:shd w:val="clear" w:color="auto" w:fill="FFFFFF"/>
          </w:rPr>
          <w:t>https://ru.valdaiclub.com/a/highlights/ukreplenie-sodruzhestva-integratsiya/?sphrase_id=777131</w:t>
        </w:r>
      </w:hyperlink>
      <w:r w:rsidRPr="00034B4D">
        <w:rPr>
          <w:color w:val="212529"/>
          <w:sz w:val="28"/>
          <w:szCs w:val="28"/>
          <w:shd w:val="clear" w:color="auto" w:fill="FFFFFF"/>
        </w:rPr>
        <w:t xml:space="preserve"> (дата обращения 29.10.2025)</w:t>
      </w:r>
    </w:p>
    <w:p w14:paraId="3C8FA185" w14:textId="77777777" w:rsidR="00080453" w:rsidRPr="00034B4D" w:rsidRDefault="00080453" w:rsidP="00080453">
      <w:pPr>
        <w:pStyle w:val="a9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color w:val="212529"/>
          <w:sz w:val="28"/>
          <w:szCs w:val="28"/>
          <w:shd w:val="clear" w:color="auto" w:fill="FFFFFF"/>
        </w:rPr>
        <w:t xml:space="preserve">Договор о Евразийском экономическом союзе (Подписан в г. Астане 29 мая 2014 г.) // Официальный сайт Евразийского экономического союза. URL: http://www. </w:t>
      </w:r>
      <w:proofErr w:type="spellStart"/>
      <w:r w:rsidRPr="00034B4D">
        <w:rPr>
          <w:color w:val="212529"/>
          <w:sz w:val="28"/>
          <w:szCs w:val="28"/>
          <w:shd w:val="clear" w:color="auto" w:fill="FFFFFF"/>
        </w:rPr>
        <w:t>eaeunion</w:t>
      </w:r>
      <w:proofErr w:type="spellEnd"/>
      <w:r w:rsidRPr="00034B4D">
        <w:rPr>
          <w:color w:val="212529"/>
          <w:sz w:val="28"/>
          <w:szCs w:val="28"/>
          <w:shd w:val="clear" w:color="auto" w:fill="FFFFFF"/>
        </w:rPr>
        <w:t xml:space="preserve">. </w:t>
      </w:r>
      <w:proofErr w:type="spellStart"/>
      <w:r w:rsidRPr="00034B4D">
        <w:rPr>
          <w:color w:val="212529"/>
          <w:sz w:val="28"/>
          <w:szCs w:val="28"/>
          <w:shd w:val="clear" w:color="auto" w:fill="FFFFFF"/>
        </w:rPr>
        <w:t>org</w:t>
      </w:r>
      <w:proofErr w:type="spellEnd"/>
      <w:r w:rsidRPr="00034B4D">
        <w:rPr>
          <w:color w:val="212529"/>
          <w:sz w:val="28"/>
          <w:szCs w:val="28"/>
          <w:shd w:val="clear" w:color="auto" w:fill="FFFFFF"/>
        </w:rPr>
        <w:t>/ (дата обращения: 27. 10. 2025).</w:t>
      </w:r>
    </w:p>
    <w:p w14:paraId="6D34333F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4B4D">
        <w:rPr>
          <w:sz w:val="28"/>
          <w:szCs w:val="28"/>
        </w:rPr>
        <w:t xml:space="preserve">Кузнецов, А., Шарафутдинов, А., </w:t>
      </w:r>
      <w:proofErr w:type="spellStart"/>
      <w:r w:rsidRPr="00034B4D">
        <w:rPr>
          <w:sz w:val="28"/>
          <w:szCs w:val="28"/>
        </w:rPr>
        <w:t>Бердигулова</w:t>
      </w:r>
      <w:proofErr w:type="spellEnd"/>
      <w:r w:rsidRPr="00034B4D">
        <w:rPr>
          <w:sz w:val="28"/>
          <w:szCs w:val="28"/>
        </w:rPr>
        <w:t xml:space="preserve">, А., Федоров, К., Долговечный, А., Бабаджанян, В. Макроэкономический обзор ЕАБР. </w:t>
      </w:r>
      <w:r w:rsidRPr="00034B4D">
        <w:rPr>
          <w:color w:val="212529"/>
          <w:sz w:val="28"/>
          <w:szCs w:val="28"/>
          <w:shd w:val="clear" w:color="auto" w:fill="FFFFFF"/>
        </w:rPr>
        <w:t>Евразийский банк развития. – Алматы: ЕАБР, 2025. – 150 с.</w:t>
      </w:r>
    </w:p>
    <w:p w14:paraId="069EE01E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4B4D">
        <w:rPr>
          <w:sz w:val="28"/>
          <w:szCs w:val="28"/>
        </w:rPr>
        <w:t>Статистический ежегодник Евразийского экономического союза; Евразийская экономическая комиссия. М. 2024. 430 с.</w:t>
      </w:r>
    </w:p>
    <w:p w14:paraId="1808857D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4B4D">
        <w:rPr>
          <w:sz w:val="28"/>
          <w:szCs w:val="28"/>
        </w:rPr>
        <w:t>Статистический ежегодник Евразийского экономического союза; Евразийская экономическая комиссия. М. 2023. 498 с.</w:t>
      </w:r>
    </w:p>
    <w:p w14:paraId="19F5D4CB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4B4D">
        <w:rPr>
          <w:sz w:val="28"/>
          <w:szCs w:val="28"/>
        </w:rPr>
        <w:t>Статистический ежегодник Евразийского экономического союза; Евразийская экономическая комиссия. М. 2022. 546 с.</w:t>
      </w:r>
    </w:p>
    <w:p w14:paraId="06F1350F" w14:textId="77777777" w:rsidR="00080453" w:rsidRPr="00034B4D" w:rsidRDefault="00080453" w:rsidP="00080453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34B4D">
        <w:rPr>
          <w:sz w:val="28"/>
          <w:szCs w:val="28"/>
        </w:rPr>
        <w:t>Статистический ежегодник Евразийского экономического союза; Евразийская экономическая комиссия. М. 2021. 460 с.</w:t>
      </w:r>
    </w:p>
    <w:p w14:paraId="559CEB0E" w14:textId="77777777" w:rsidR="00034908" w:rsidRPr="00034B4D" w:rsidRDefault="00034908">
      <w:pPr>
        <w:rPr>
          <w:sz w:val="28"/>
          <w:szCs w:val="28"/>
        </w:rPr>
      </w:pPr>
    </w:p>
    <w:sectPr w:rsidR="00034908" w:rsidRPr="00034B4D" w:rsidSect="00EE417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0020" w14:textId="77777777" w:rsidR="00F557DA" w:rsidRDefault="00F557DA" w:rsidP="00080453">
      <w:r>
        <w:separator/>
      </w:r>
    </w:p>
  </w:endnote>
  <w:endnote w:type="continuationSeparator" w:id="0">
    <w:p w14:paraId="44C48854" w14:textId="77777777" w:rsidR="00F557DA" w:rsidRDefault="00F557DA" w:rsidP="0008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E220" w14:textId="77777777" w:rsidR="00F557DA" w:rsidRDefault="00F557DA" w:rsidP="00080453">
      <w:r>
        <w:separator/>
      </w:r>
    </w:p>
  </w:footnote>
  <w:footnote w:type="continuationSeparator" w:id="0">
    <w:p w14:paraId="1797F22F" w14:textId="77777777" w:rsidR="00F557DA" w:rsidRDefault="00F557DA" w:rsidP="00080453">
      <w:r>
        <w:continuationSeparator/>
      </w:r>
    </w:p>
  </w:footnote>
  <w:footnote w:id="1">
    <w:p w14:paraId="747B88A8" w14:textId="77777777" w:rsidR="00036D40" w:rsidRDefault="00036D40" w:rsidP="00036D40">
      <w:pPr>
        <w:pStyle w:val="a6"/>
      </w:pPr>
      <w:r>
        <w:rPr>
          <w:rStyle w:val="a8"/>
        </w:rPr>
        <w:footnoteRef/>
      </w:r>
      <w:r>
        <w:t xml:space="preserve"> Статистический ежегодник Евразийского экономического союза; Евразийская экономическая комиссия. М. 2021. С. 426</w:t>
      </w:r>
    </w:p>
    <w:p w14:paraId="27B66072" w14:textId="42369097" w:rsidR="00036D40" w:rsidRDefault="00036D40">
      <w:pPr>
        <w:pStyle w:val="a6"/>
      </w:pPr>
    </w:p>
  </w:footnote>
  <w:footnote w:id="2">
    <w:p w14:paraId="3DE235AC" w14:textId="194167A6" w:rsidR="00C80B14" w:rsidRDefault="00F65A68" w:rsidP="00F65A68">
      <w:pPr>
        <w:pStyle w:val="a6"/>
      </w:pPr>
      <w:r>
        <w:rPr>
          <w:rStyle w:val="a8"/>
        </w:rPr>
        <w:footnoteRef/>
      </w:r>
      <w:r>
        <w:t xml:space="preserve"> Статистический ежегодник Евразийского экономического союза; Евразийская экономическая комиссия. М. 2021. С. 19</w:t>
      </w:r>
    </w:p>
    <w:p w14:paraId="22BE0407" w14:textId="77777777" w:rsidR="00F65A68" w:rsidRDefault="00F65A68" w:rsidP="00F65A68">
      <w:pPr>
        <w:pStyle w:val="a6"/>
      </w:pPr>
    </w:p>
    <w:p w14:paraId="724DF14F" w14:textId="6EAD47F2" w:rsidR="00F65A68" w:rsidRDefault="00F65A68">
      <w:pPr>
        <w:pStyle w:val="a6"/>
      </w:pPr>
    </w:p>
  </w:footnote>
  <w:footnote w:id="3">
    <w:p w14:paraId="5A666E0A" w14:textId="77777777" w:rsidR="003071AB" w:rsidRPr="006C3DAC" w:rsidRDefault="003071AB" w:rsidP="003071AB">
      <w:pPr>
        <w:pStyle w:val="a6"/>
      </w:pPr>
      <w:r>
        <w:rPr>
          <w:rStyle w:val="a8"/>
        </w:rPr>
        <w:footnoteRef/>
      </w:r>
      <w:r>
        <w:t xml:space="preserve"> </w:t>
      </w:r>
      <w:r w:rsidRPr="006C3DAC">
        <w:rPr>
          <w:color w:val="212529"/>
          <w:shd w:val="clear" w:color="auto" w:fill="FFFFFF"/>
        </w:rPr>
        <w:t>Доклад об итогах реализации плана мероприятий по реализации Основных направлений развития механизма «единого окна» в системе регулирования внешнеэкономической деятельности / Евразийская экономическая комиссия. 2022. С. 41.</w:t>
      </w:r>
    </w:p>
    <w:p w14:paraId="786ABEF3" w14:textId="269862F4" w:rsidR="003071AB" w:rsidRDefault="003071AB">
      <w:pPr>
        <w:pStyle w:val="a6"/>
      </w:pPr>
    </w:p>
  </w:footnote>
  <w:footnote w:id="4">
    <w:p w14:paraId="2F6918AF" w14:textId="77777777" w:rsidR="00080453" w:rsidRPr="00CD0101" w:rsidRDefault="00080453" w:rsidP="00080453">
      <w:pPr>
        <w:pStyle w:val="a6"/>
      </w:pPr>
      <w:r>
        <w:rPr>
          <w:rStyle w:val="a8"/>
        </w:rPr>
        <w:footnoteRef/>
      </w:r>
      <w:r w:rsidRPr="00CD0101">
        <w:t xml:space="preserve"> </w:t>
      </w:r>
      <w:r>
        <w:rPr>
          <w:lang w:val="en-US"/>
        </w:rPr>
        <w:t>URL</w:t>
      </w:r>
      <w:r w:rsidRPr="00CD0101">
        <w:t xml:space="preserve">: </w:t>
      </w:r>
      <w:hyperlink r:id="rId1" w:history="1">
        <w:r w:rsidRPr="00CE1BA4">
          <w:rPr>
            <w:rStyle w:val="a5"/>
            <w:lang w:val="en-US"/>
          </w:rPr>
          <w:t>https</w:t>
        </w:r>
        <w:r w:rsidRPr="00CD0101">
          <w:rPr>
            <w:rStyle w:val="a5"/>
          </w:rPr>
          <w:t>://</w:t>
        </w:r>
        <w:proofErr w:type="spellStart"/>
        <w:r w:rsidRPr="00CE1BA4">
          <w:rPr>
            <w:rStyle w:val="a5"/>
            <w:lang w:val="en-US"/>
          </w:rPr>
          <w:t>ru</w:t>
        </w:r>
        <w:proofErr w:type="spellEnd"/>
        <w:r w:rsidRPr="00CD0101">
          <w:rPr>
            <w:rStyle w:val="a5"/>
          </w:rPr>
          <w:t>.</w:t>
        </w:r>
        <w:proofErr w:type="spellStart"/>
        <w:r w:rsidRPr="00CE1BA4">
          <w:rPr>
            <w:rStyle w:val="a5"/>
            <w:lang w:val="en-US"/>
          </w:rPr>
          <w:t>valdaiclub</w:t>
        </w:r>
        <w:proofErr w:type="spellEnd"/>
        <w:r w:rsidRPr="00CD0101">
          <w:rPr>
            <w:rStyle w:val="a5"/>
          </w:rPr>
          <w:t>.</w:t>
        </w:r>
        <w:r w:rsidRPr="00CE1BA4">
          <w:rPr>
            <w:rStyle w:val="a5"/>
            <w:lang w:val="en-US"/>
          </w:rPr>
          <w:t>com</w:t>
        </w:r>
        <w:r w:rsidRPr="00CD0101">
          <w:rPr>
            <w:rStyle w:val="a5"/>
          </w:rPr>
          <w:t>/</w:t>
        </w:r>
        <w:r w:rsidRPr="00CE1BA4">
          <w:rPr>
            <w:rStyle w:val="a5"/>
            <w:lang w:val="en-US"/>
          </w:rPr>
          <w:t>a</w:t>
        </w:r>
        <w:r w:rsidRPr="00CD0101">
          <w:rPr>
            <w:rStyle w:val="a5"/>
          </w:rPr>
          <w:t>/</w:t>
        </w:r>
        <w:r w:rsidRPr="00CE1BA4">
          <w:rPr>
            <w:rStyle w:val="a5"/>
            <w:lang w:val="en-US"/>
          </w:rPr>
          <w:t>highlights</w:t>
        </w:r>
        <w:r w:rsidRPr="00CD0101">
          <w:rPr>
            <w:rStyle w:val="a5"/>
          </w:rPr>
          <w:t>/</w:t>
        </w:r>
        <w:proofErr w:type="spellStart"/>
        <w:r w:rsidRPr="00CE1BA4">
          <w:rPr>
            <w:rStyle w:val="a5"/>
            <w:lang w:val="en-US"/>
          </w:rPr>
          <w:t>ukreplenie</w:t>
        </w:r>
        <w:proofErr w:type="spellEnd"/>
        <w:r w:rsidRPr="00CD0101">
          <w:rPr>
            <w:rStyle w:val="a5"/>
          </w:rPr>
          <w:t>-</w:t>
        </w:r>
        <w:proofErr w:type="spellStart"/>
        <w:r w:rsidRPr="00CE1BA4">
          <w:rPr>
            <w:rStyle w:val="a5"/>
            <w:lang w:val="en-US"/>
          </w:rPr>
          <w:t>sodruzhestva</w:t>
        </w:r>
        <w:proofErr w:type="spellEnd"/>
        <w:r w:rsidRPr="00CD0101">
          <w:rPr>
            <w:rStyle w:val="a5"/>
          </w:rPr>
          <w:t>-</w:t>
        </w:r>
        <w:proofErr w:type="spellStart"/>
        <w:r w:rsidRPr="00CE1BA4">
          <w:rPr>
            <w:rStyle w:val="a5"/>
            <w:lang w:val="en-US"/>
          </w:rPr>
          <w:t>integratsiya</w:t>
        </w:r>
        <w:proofErr w:type="spellEnd"/>
        <w:r w:rsidRPr="00CD0101">
          <w:rPr>
            <w:rStyle w:val="a5"/>
          </w:rPr>
          <w:t>/?</w:t>
        </w:r>
        <w:proofErr w:type="spellStart"/>
        <w:r w:rsidRPr="00CE1BA4">
          <w:rPr>
            <w:rStyle w:val="a5"/>
            <w:lang w:val="en-US"/>
          </w:rPr>
          <w:t>sphrase</w:t>
        </w:r>
        <w:proofErr w:type="spellEnd"/>
        <w:r w:rsidRPr="00CD0101">
          <w:rPr>
            <w:rStyle w:val="a5"/>
          </w:rPr>
          <w:t>_</w:t>
        </w:r>
        <w:r w:rsidRPr="00CE1BA4">
          <w:rPr>
            <w:rStyle w:val="a5"/>
            <w:lang w:val="en-US"/>
          </w:rPr>
          <w:t>id</w:t>
        </w:r>
        <w:r w:rsidRPr="00CD0101">
          <w:rPr>
            <w:rStyle w:val="a5"/>
          </w:rPr>
          <w:t>=777131</w:t>
        </w:r>
      </w:hyperlink>
      <w:r>
        <w:t xml:space="preserve"> </w:t>
      </w:r>
      <w:r w:rsidRPr="00CD0101">
        <w:t>(</w:t>
      </w:r>
      <w:r>
        <w:t xml:space="preserve">дата обращения </w:t>
      </w:r>
      <w:proofErr w:type="gramStart"/>
      <w:r>
        <w:t>27.10.2025</w:t>
      </w:r>
      <w:r w:rsidRPr="00CD0101">
        <w:t xml:space="preserve"> )</w:t>
      </w:r>
      <w:proofErr w:type="gramEnd"/>
    </w:p>
  </w:footnote>
  <w:footnote w:id="5">
    <w:p w14:paraId="6DE4AE7D" w14:textId="77777777" w:rsidR="00080453" w:rsidRPr="00E52CDD" w:rsidRDefault="00080453" w:rsidP="00080453">
      <w:pPr>
        <w:pStyle w:val="a6"/>
      </w:pPr>
      <w:r>
        <w:rPr>
          <w:rStyle w:val="a8"/>
        </w:rPr>
        <w:footnoteRef/>
      </w:r>
      <w:r>
        <w:t xml:space="preserve"> </w:t>
      </w:r>
      <w:r w:rsidRPr="00E52CDD">
        <w:rPr>
          <w:color w:val="212529"/>
          <w:shd w:val="clear" w:color="auto" w:fill="FFFFFF"/>
        </w:rPr>
        <w:t>Оперативные данные Национальной статистической службы Республики Армения за первое полугодие 2025 года. — URL:</w:t>
      </w:r>
      <w:r>
        <w:rPr>
          <w:color w:val="212529"/>
          <w:shd w:val="clear" w:color="auto" w:fill="FFFFFF"/>
        </w:rPr>
        <w:t xml:space="preserve"> </w:t>
      </w:r>
      <w:r w:rsidRPr="00E52CDD">
        <w:t>https://www.armstat.am/ru/ (дата обращения 28.10.2025)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2249D"/>
    <w:multiLevelType w:val="hybridMultilevel"/>
    <w:tmpl w:val="49FEF912"/>
    <w:lvl w:ilvl="0" w:tplc="8EF82A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0C5CEC"/>
    <w:multiLevelType w:val="hybridMultilevel"/>
    <w:tmpl w:val="161C8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0C"/>
    <w:rsid w:val="00034908"/>
    <w:rsid w:val="00034B4D"/>
    <w:rsid w:val="00036D40"/>
    <w:rsid w:val="0005471A"/>
    <w:rsid w:val="00080453"/>
    <w:rsid w:val="00080595"/>
    <w:rsid w:val="000F4463"/>
    <w:rsid w:val="00203320"/>
    <w:rsid w:val="002F7E5C"/>
    <w:rsid w:val="003071AB"/>
    <w:rsid w:val="003D0ABB"/>
    <w:rsid w:val="003E0595"/>
    <w:rsid w:val="003E7513"/>
    <w:rsid w:val="003F7A4A"/>
    <w:rsid w:val="004C66BB"/>
    <w:rsid w:val="00536263"/>
    <w:rsid w:val="0055078E"/>
    <w:rsid w:val="00566F5F"/>
    <w:rsid w:val="005E241D"/>
    <w:rsid w:val="0071743E"/>
    <w:rsid w:val="007A6C21"/>
    <w:rsid w:val="00871DDB"/>
    <w:rsid w:val="00997996"/>
    <w:rsid w:val="00A23D3A"/>
    <w:rsid w:val="00A27071"/>
    <w:rsid w:val="00AD06F6"/>
    <w:rsid w:val="00AF3116"/>
    <w:rsid w:val="00AF717F"/>
    <w:rsid w:val="00B403F5"/>
    <w:rsid w:val="00C203D6"/>
    <w:rsid w:val="00C54C2B"/>
    <w:rsid w:val="00C80B14"/>
    <w:rsid w:val="00CD4155"/>
    <w:rsid w:val="00D85661"/>
    <w:rsid w:val="00DB2981"/>
    <w:rsid w:val="00E11875"/>
    <w:rsid w:val="00E82C82"/>
    <w:rsid w:val="00EE48C9"/>
    <w:rsid w:val="00F10F0C"/>
    <w:rsid w:val="00F402C5"/>
    <w:rsid w:val="00F475F6"/>
    <w:rsid w:val="00F5112D"/>
    <w:rsid w:val="00F557DA"/>
    <w:rsid w:val="00F65A68"/>
    <w:rsid w:val="00FC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15F5"/>
  <w15:chartTrackingRefBased/>
  <w15:docId w15:val="{36D0A248-1FF6-4639-B003-01AB2F54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4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45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804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80453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08045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80453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80453"/>
    <w:rPr>
      <w:vertAlign w:val="superscript"/>
    </w:rPr>
  </w:style>
  <w:style w:type="paragraph" w:styleId="a9">
    <w:name w:val="List Paragraph"/>
    <w:basedOn w:val="a"/>
    <w:uiPriority w:val="34"/>
    <w:qFormat/>
    <w:rsid w:val="00080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valdaiclub.com/a/highlights/ukreplenie-sodruzhestva-integratsiya/?sphrase_id=77713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valdaiclub.com/a/highlights/ukreplenie-sodruzhestva-integratsiya/?sphrase_id=777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FE67A-E7A3-4352-9D9B-5E9445B2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7</Pages>
  <Words>1892</Words>
  <Characters>10789</Characters>
  <Application>Microsoft Office Word</Application>
  <DocSecurity>0</DocSecurity>
  <Lines>89</Lines>
  <Paragraphs>25</Paragraphs>
  <ScaleCrop>false</ScaleCrop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Сонечка Сон</dc:creator>
  <cp:keywords/>
  <dc:description/>
  <cp:lastModifiedBy>Сонечка Сон</cp:lastModifiedBy>
  <cp:revision>42</cp:revision>
  <dcterms:created xsi:type="dcterms:W3CDTF">2025-11-03T15:42:00Z</dcterms:created>
  <dcterms:modified xsi:type="dcterms:W3CDTF">2026-01-14T08:06:00Z</dcterms:modified>
</cp:coreProperties>
</file>