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2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0" w:line="288" w:lineRule="auto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212529"/>
          <w:sz w:val="22"/>
          <w:szCs w:val="22"/>
        </w:rPr>
        <w:t xml:space="preserve">Дидактические игры как средство реализации ФГОС на уроках английского языка.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Автор: Полибина Елена Борисовна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Организация: МБОУ «Семилейская СОШ»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Населенный пункт:РМ, Кочкуровский район,с.Семилей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Аннотация: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В статье рассматривается роль и место дидактических игр в современном образовательном процессе в контексте требований Федерального государственного образовательного стандарта (ФГОС). Обосновывается эффективность игровых технологий для достижения метапредм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етных и личностных результатов, развития универсальных учебных действий (УУД) и повышения мотивации к изучению английского языка. Приводятся практические примеры игр для разных этапов урока.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Ключевые слова: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ФГОС, дидактическая игра, английский язык, универсальные учебные действия (УУД), метапредметные результаты, мотивация, коммуникативная компетенция.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Введение: Актуальность игровых технологий в условиях ФГОС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ФГОС нового поколения сместил акцент с простой передачи знаний на развитие личности учащегося, формирование у него умения учиться и применять полученные знания в жизни. Основными задачами становятся: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Реализация системно-деятельностного подхода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, где ученик – активный субъект обучения.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Формирование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универсальных учебных действий (УУД)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: личностных, регулятивных, познавательных и коммуникативных.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Достижение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метапредметных результатов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(умение общаться, сотрудничать, решать проблемы).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Развитие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личностных качеств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(ответственность, толерантность, инициативность).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Дидактическая игра идеально вписывается в эту парадигму, так как является по своей сути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деятельностной формой обучения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, которая естественным образом мотивирует учащихся и создает условия для комплексного развития всех требуемых стандартом компетенций.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jc w:val="both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1. Роль дидактической игры в достижении требований ФГОС</w:t>
      </w:r>
      <w:r>
        <w:rPr>
          <w:sz w:val="22"/>
          <w:szCs w:val="22"/>
        </w:rPr>
      </w:r>
    </w:p>
    <w:tbl>
      <w:tblPr>
        <w:tblStyle w:val="725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0" w:space="0"/>
          <w:right w:val="single" w:color="000000" w:sz="0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653"/>
        <w:gridCol w:w="6692"/>
      </w:tblGrid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Требование ФГОС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Реализация через дидактическую игру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Развитие коммуникативных УУД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Игры требуют постоянного взаимодействия: обсуждение стратегии, диалоги по заданным правилам, описание, убеждение, вопросы и ответы на английском языке.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Развитие познавательных УУД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Игры стимулируют логическое мышление (анализ, синтез, сравнение), память (активизация лексики и грамматики), внимание и воображение.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Развитие регулятивных УУД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Учащиеся учатся планировать свои действия в игре, контролировать свою речь и действия партнеров, корректировать ошибки и адекватно оценивать результат.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Развитие личностных УУД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Игры воспитывают уважение к партнеру, умение работать в команде, терпимость к другому мнению, а также формируют самооценку и чувство ответственности за общий результат.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Формирование метапредметных связей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Многие игры интегрируют знания из разных областей (история, география, музыка), что способствует целостному восприятию мира.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65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Повышение мотивации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69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239" w:before="0"/>
              <w:ind w:right="0" w:firstLine="0" w:left="0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Игровая ситуация снимает психологический барьер, снижает страх ошибки и делает процесс обучения увлекательным, что особенно важно для английского языка как средства общения.</w:t>
            </w:r>
            <w:r>
              <w:rPr>
                <w:sz w:val="22"/>
                <w:szCs w:val="22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2. Классификация и примеры дидактических игр на уроках английского языка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Игры можно классифицировать по различным признакам: целям, форме организации, видам ревой деятельности.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1. Лексические игры (направлены на закрепление и активизацию словарного запаса):</w:t>
      </w:r>
      <w:r>
        <w:rPr>
          <w:sz w:val="22"/>
          <w:szCs w:val="22"/>
        </w:rPr>
      </w:r>
    </w:p>
    <w:p>
      <w:pPr>
        <w:pStyle w:val="913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«Snowball» («Снежный</w:t>
      </w:r>
      <w:r>
        <w:rPr>
          <w:rFonts w:ascii="Times New Roman" w:hAnsi="Times New Roman" w:eastAsia="Times New Roman" w:cs="Times New Roman"/>
          <w:b/>
          <w:color w:val="000000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ком»):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Ученик 1: "I went to the shop and bought an apple". Ученик 2: "I went to the shop and bought an apple and a book". И т.д.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«Alias» / «Explain the word»: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Учащийся должен объяснить загаданное слово на английском, не называя его.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«Crossword» / «Wordsearch»: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Классические кроссворды и поиск слов по теме.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2. Грамматические игры (делают освоение грамматики более наглядным и практико-ориентированным):</w:t>
      </w:r>
      <w:r>
        <w:rPr>
          <w:sz w:val="22"/>
          <w:szCs w:val="22"/>
        </w:rPr>
      </w:r>
    </w:p>
    <w:p>
      <w:pPr>
        <w:pStyle w:val="913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«Grammar Casino»: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Учащиеся делают ставки на правильность предложений. Если предложение верное, получают свои фишки назад и выигрыш.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«Role-play with cards»: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Ученики получают карточки с ролями и должны построить диалог, используя определенную грамматическую структуру (напр., Present Continuous для описания происходящего действия).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«Sentence Race»: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Класс делится на команды. Учитель показывает слова вразброс, команды должны быстрее составить из них грамматически правильное предложение.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3. Коммуникативные и ролевые игры (направлены на развитие навыков говорения и аудирования):</w:t>
      </w:r>
      <w:r>
        <w:rPr>
          <w:sz w:val="22"/>
          <w:szCs w:val="22"/>
        </w:rPr>
      </w:r>
    </w:p>
    <w:p>
      <w:pPr>
        <w:pStyle w:val="913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«Find someone who...»: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Ученики ходят по классу с опросными листами и задают вопросы, чтобы найти человека, который, например, "can play the guitar" или "has been to London".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«Job Interview»: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Ролевая игра "Собеседование на работу". Один ученик – интервьюер, другой – соискатель.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«Plan a trip»: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Группам дается задание спланировать путешествие в определенную страну, обсудив бюджет, маршрут и достопримечательности.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4. Игры на аудирование и чтение:</w:t>
      </w:r>
      <w:r>
        <w:rPr>
          <w:sz w:val="22"/>
          <w:szCs w:val="22"/>
        </w:rPr>
      </w:r>
    </w:p>
    <w:p>
      <w:pPr>
        <w:pStyle w:val="913"/>
        <w:numPr>
          <w:ilvl w:val="0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«Bingo» с аудиозаписью: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Вместо цифр на карточках Bingo – слова. Учащиеся зачеркивают слова, которые слышат в тексте.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5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«Running Dictation»: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Текст вывешен за пределами класса. Участники команды по очереди подбегают, читают часть текста, запоминают и диктуют его своему товарищу, который записывает.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3. Методические рекомендации по организации игр</w:t>
      </w:r>
      <w:r>
        <w:rPr>
          <w:sz w:val="22"/>
          <w:szCs w:val="22"/>
        </w:rPr>
      </w:r>
    </w:p>
    <w:p>
      <w:pPr>
        <w:pStyle w:val="913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Четкость цели: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Игра должна иметь четкую дидактическую цель (не "просто поиграть", а "закрепить лексику по теме "Еда").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Понятные правила: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Инструкции должны быть простыми, краткими и доступными. Лучше показать на примере.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Соответствие возрасту и уровню: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Игра должна быть посильной, но содержать элемент challenge.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Организация и рефлексия: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Важно четко организовать пространство и время. После игры обязательно обсудить, что получилось, что вызвало трудности, чему научились.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Дозированность: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Игра – это элемент урока, а не его замена. Она должна органично вписываться в структуру занятия.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 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ПРИЛОЖЕНИЕ.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Приложение 1: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 Игры для отработки лексики (Lexical Games)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1. Игра: «Word Bingo»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Отработка и активизация новой лексики по теме (например, «Животные», «Еда», «Профессии»).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Познавательные (узнавание и воспроизведение слов), регулятивные (следование правилам).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Учащиеся рисуют сетку 3x3 и вписывают в любые 9 клеток слова из изученного списка (12-15 слов). Учитель называет слова в случайном порядке. Ученики вычеркивают слово, если оно есть у них. Кто первый вычеркнет все слова в линии (по горизонтали, вертикали и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ли диагонали) — кричит «Bingo!».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2. Игра: «Alias / Explain the Word»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8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Развитие навыков объяснения и синонимии, активизация пассивного словарного запаса.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8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Коммуникативные (умение объяснять, работать в команде), познавательные (построение ассоциаций).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8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Класс делится на команды. Игрок одной команды берет карточку со словом и должен объяснить его своей команде без использования однокоренных слов. На отгадывание дается 1 минута. За каждое отгаданное слово — очко. Можно использовать песочные часы или таймер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3. Игра: «Find Someone Who...»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Отработка вопросов в Present Simple, развитие коммуникативных навыков.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Коммуникативные (умение задавать вопросы, вести диалог), личностные (самопрезентация).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Учащиеся получают карточку с утверждениями.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...has a pet.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...can play the guitar.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...likes pizza.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...went to the cinema last week.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...is wearing blue socks today.</w:t>
        <w:br/>
        <w:t xml:space="preserve">Их задача — встать и опросить как можно больше одноклассников, чтобы найти того, кто подходит под утверждение. Задача — записать имя человека.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Приложение 2: 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Игры для отработки грамматики (Grammar Games)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1. Игра: «Grammar Casino»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Повторение и контроль грамматических структур, развитие критического мышления.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Познавательные (анализ, сравнение), регулятивные (принятие решения, риск).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0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Учащиеся делятся на команды и получают «деньги» (виртуальные или фишки). Учитель показывает предложения, некоторые из которых содержат грамматические ошибки. Команды делают ставки на то, верно ли предложение. Если они угадывают, их «банк» увеличивается, е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сли нет — уменьшается.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2. Игра: «Sentence Race»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Закрепление порядка слов в английском предложении.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Познавательные (логические действия), регулятивные (работа на время).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Класс делится на 2-3 команды. Каждая команда получает набор карточек со словами (для простоты можно писать на листочках). Учитель произносит предложение (например, "We usually play football in the park"). Задача команд — быстрее остальных выстроиться в пр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авильном порядке, держа в руках свои карточки.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Приложение 3: 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Ролевые игры (Role-Plays) для развития диалогической речи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1. Ситуация: «At the Restaurant»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Развитие навыков диалогической речи в конкретной бытовой ситуации.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Коммуникативные (взаимодействие, умение слушать), личностные (вхождение в роль).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Материалы: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Карточки для «официанта» (меню) и «клиентов».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Учащиеся разбиваются на группы по 3-4 человека. Распределяются роли: официант и клиенты. Клиенты знакомятся с меню, делают заказ, официант уточняет детали, дает рекомендации. В конце — разыгрывается ситуация счета и прощания.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2. Ситуация: «Job Interview»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Цель: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Активизация лексики по теме «Профессии», отработка вопросов и ответов в формальной обстановке.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Формируемые УУД: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Личностные (самопрезентация, самооценка), коммуникативные.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Ход игры: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 Один ученик — интервьюер (HR-менеджер), другой — соискатель. Интервьюер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задает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стандартные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вопросы: "Tell me about yourself", "What are your strengths and weaknesses?", "Why do you want this job?". Собеседник отвечает. Затем учащиеся меняются ролями.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Заключение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  <w:t xml:space="preserve">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Использование дидактических игр на уроках английского языка перестает быть просто способом развлечь учеников. В условиях ФГОС это мощный и эффективный 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инструмент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, который позволяет учителю создавать подлинно развивающую образовательную среду. Игра способствует не только прочному усвоению языкового материала, но и формированию всех видов УУД, воспитанию инициативной, творческой и коммуникабельной личности, готовой 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к межкультурному диалогу.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239" w:before="0"/>
        <w:ind w:right="0" w:firstLine="0" w:left="0"/>
        <w:rPr>
          <w:rFonts w:ascii="Times New Roman" w:hAnsi="Times New Roman" w:eastAsia="Times New Roman" w:cs="Times New Roman"/>
          <w:b/>
          <w:bCs/>
          <w:color w:val="0f1115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  <w:t xml:space="preserve">Л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white"/>
        </w:rPr>
        <w:t xml:space="preserve">итератур</w:t>
      </w:r>
      <w:r>
        <w:rPr>
          <w:rFonts w:ascii="Times New Roman" w:hAnsi="Times New Roman" w:eastAsia="Times New Roman" w:cs="Times New Roman"/>
          <w:b/>
          <w:color w:val="0f1115"/>
          <w:sz w:val="22"/>
          <w:szCs w:val="22"/>
          <w:highlight w:val="none"/>
        </w:rPr>
        <w:t xml:space="preserve">а.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Федеральный государственный образовательный стандарт основного общего образования (утвержден Приказом Минпросвещения России от 31.05.2021 № 287).  [Электронный ресурс].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Асмолов А.Г. Как проектировать универсальные учебные действия в начальной школе.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От действия к мысли: пособие для учителя 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А.Г. Асмолов, Г.В. Бурменская.  М.: Просвещение, 2008. – 151 с.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Выготский Л.С. Игра и ее роль в психическом развитии ребенка.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Вопросы психологии. – 1966. – № 6. – С. 62–76.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Гальскова Н.Д. Теория обучения иностранным языкам.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Лингводидактика и методика: учеб. пособие для студ. лингв. ун-тов и фак. ин. яз. высш. пед. учеб. заведений. 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Н.Д. Гальскова, Н.И. Гез. – 6-е изд., стер.  М.: Академия, 2009. – 336 с.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Жуковская Р.И. Игра и ее педагогическое значение. М.: Педагогика, 1975. – 112 с.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Конышева А.В. Игровой метод в обучении иностранному языку. СПб.: КАРО, Мн.: Четыре четверти, 2006. – 192 с.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Пассов Е.И. Урок иностранного языка в средней школе.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2-е изд., дораб. М.: Просвещение, 1988. – 223 с.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Стронин М.Ф. Обучающие игры на уроке английского языка .</w:t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 М.: Просвещение, 1984. – 112 с.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El Shamy, S. Training Games: Everything You Need to Know About Using Games to Reinforce Learning.  St. Louis: St. Louis University, 2001.</w:t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Hadfield, J. Elementary Communication Games.  Longman, 1999.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Ur, P. Five-Minute Activities: A Resource Book of Short Activities.  Cambridge University Press, 1992.</w:t>
      </w:r>
      <w:r>
        <w:rPr>
          <w:sz w:val="22"/>
          <w:szCs w:val="22"/>
        </w:rPr>
      </w:r>
    </w:p>
    <w:p>
      <w:pPr>
        <w:pStyle w:val="913"/>
        <w:numPr>
          <w:ilvl w:val="0"/>
          <w:numId w:val="1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color w:val="0f1115"/>
          <w:sz w:val="22"/>
          <w:szCs w:val="22"/>
          <w:highlight w:val="white"/>
        </w:rPr>
        <w:t xml:space="preserve">Wright, A., Betteridge, D., &amp; Buckby, M. Games for Language Learning. 3rd Edition.  Cambridge University Press, 2006.</w:t>
      </w:r>
      <w:r>
        <w:rPr>
          <w:sz w:val="22"/>
          <w:szCs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/>
        <w:ind w:right="0" w:firstLine="0" w:left="0"/>
        <w:rPr>
          <w:sz w:val="22"/>
          <w:szCs w:val="22"/>
        </w:rPr>
      </w:pPr>
      <w:r>
        <w:rPr>
          <w:sz w:val="22"/>
          <w:szCs w:val="22"/>
        </w:rPr>
        <w:br/>
      </w:r>
      <w:r>
        <w:rPr>
          <w:sz w:val="22"/>
          <w:szCs w:val="22"/>
        </w:rPr>
      </w:r>
    </w:p>
    <w:p>
      <w:pPr>
        <w:pStyle w:val="85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0" w:line="288" w:lineRule="auto"/>
        <w:ind w:right="0" w:firstLine="0" w:left="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212529"/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09"/>
      </w:pPr>
      <w:rPr>
        <w:rFonts w:ascii="Times New Roman" w:hAnsi="Times New Roman" w:eastAsia="Times New Roman" w:cs="Times New Roman"/>
        <w:color w:val="0f1115"/>
        <w:sz w:val="21"/>
        <w:highlight w:val="white"/>
      </w:rPr>
      <w:start w:val="1"/>
      <w:suff w:val="tab"/>
    </w:lvl>
    <w:lvl w:ilvl="1">
      <w:isLgl w:val="false"/>
      <w:lvlJc w:val="right"/>
      <w:lvlText w:val="%2."/>
      <w:numFmt w:val="decimal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decimal"/>
      <w:pPr>
        <w:pBdr/>
        <w:spacing/>
        <w:ind w:hanging="180" w:left="2149"/>
      </w:pPr>
      <w:rPr/>
      <w:start w:val="1"/>
      <w:suff w:val="tab"/>
    </w:lvl>
    <w:lvl w:ilvl="3">
      <w:isLgl w:val="false"/>
      <w:lvlJc w:val="righ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right"/>
      <w:lvlText w:val="%5."/>
      <w:numFmt w:val="decimal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decimal"/>
      <w:pPr>
        <w:pBdr/>
        <w:spacing/>
        <w:ind w:hanging="180" w:left="4309"/>
      </w:pPr>
      <w:rPr/>
      <w:start w:val="1"/>
      <w:suff w:val="tab"/>
    </w:lvl>
    <w:lvl w:ilvl="6">
      <w:isLgl w:val="false"/>
      <w:lvlJc w:val="righ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right"/>
      <w:lvlText w:val="%8."/>
      <w:numFmt w:val="decimal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decimal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7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8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1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1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f1115"/>
        <w:sz w:val="21"/>
        <w:highlight w:val="white"/>
      </w:rPr>
      <w:start w:val="1"/>
      <w:suff w:val="tab"/>
    </w:lvl>
  </w:abstractNum>
  <w:abstractNum w:abstractNumId="13">
    <w:lvl w:ilvl="0">
      <w:isLgl w:val="false"/>
      <w:lvlJc w:val="right"/>
      <w:lvlText w:val="%1."/>
      <w:numFmt w:val="decimal"/>
      <w:pPr>
        <w:pBdr/>
        <w:spacing/>
        <w:ind w:hanging="360" w:left="709"/>
      </w:pPr>
      <w:rPr>
        <w:rFonts w:ascii="Times New Roman" w:hAnsi="Times New Roman" w:eastAsia="Times New Roman" w:cs="Times New Roman"/>
        <w:color w:val="0f1115"/>
        <w:sz w:val="21"/>
        <w:highlight w:val="white"/>
      </w:rPr>
      <w:start w:val="1"/>
      <w:suff w:val="tab"/>
    </w:lvl>
    <w:lvl w:ilvl="1">
      <w:isLgl w:val="false"/>
      <w:lvlJc w:val="right"/>
      <w:lvlText w:val="%2."/>
      <w:numFmt w:val="decimal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decimal"/>
      <w:pPr>
        <w:pBdr/>
        <w:spacing/>
        <w:ind w:hanging="180" w:left="2149"/>
      </w:pPr>
      <w:rPr/>
      <w:start w:val="1"/>
      <w:suff w:val="tab"/>
    </w:lvl>
    <w:lvl w:ilvl="3">
      <w:isLgl w:val="false"/>
      <w:lvlJc w:val="righ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right"/>
      <w:lvlText w:val="%5."/>
      <w:numFmt w:val="decimal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decimal"/>
      <w:pPr>
        <w:pBdr/>
        <w:spacing/>
        <w:ind w:hanging="180" w:left="4309"/>
      </w:pPr>
      <w:rPr/>
      <w:start w:val="1"/>
      <w:suff w:val="tab"/>
    </w:lvl>
    <w:lvl w:ilvl="6">
      <w:isLgl w:val="false"/>
      <w:lvlJc w:val="righ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right"/>
      <w:lvlText w:val="%8."/>
      <w:numFmt w:val="decimal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decimal"/>
      <w:pPr>
        <w:pBdr/>
        <w:spacing/>
        <w:ind w:hanging="180" w:left="6469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25">
    <w:name w:val="Table Grid"/>
    <w:basedOn w:val="9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Table Grid Light"/>
    <w:basedOn w:val="9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1"/>
    <w:basedOn w:val="9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2"/>
    <w:basedOn w:val="9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Plain Table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Plain Table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1 Light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2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2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3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3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1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2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3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 - Accent 4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4 - Accent 5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4 - Accent 6"/>
    <w:basedOn w:val="9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5 Dark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5 Dark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6 Colorful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6 Colorful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7 Colorful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7 Colorful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1 Light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1 Light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2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2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3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3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4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4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5 Dark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5 Dark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6 Colorful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6 Colorful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7 Colorful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7 Colorful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1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2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3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 4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ned - Accent 5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ned - Accent 6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1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2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3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 4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 &amp; Lined - Accent 5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&amp; Lined - Accent 6"/>
    <w:basedOn w:val="9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1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2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3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- Accent 4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Bordered - Accent 5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Bordered - Accent 6"/>
    <w:basedOn w:val="9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1">
    <w:name w:val="Heading 1"/>
    <w:basedOn w:val="909"/>
    <w:next w:val="909"/>
    <w:link w:val="86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52">
    <w:name w:val="Heading 2"/>
    <w:basedOn w:val="909"/>
    <w:next w:val="909"/>
    <w:link w:val="86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3">
    <w:name w:val="Heading 3"/>
    <w:basedOn w:val="909"/>
    <w:next w:val="909"/>
    <w:link w:val="86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4">
    <w:name w:val="Heading 4"/>
    <w:basedOn w:val="909"/>
    <w:next w:val="909"/>
    <w:link w:val="86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5">
    <w:name w:val="Heading 5"/>
    <w:basedOn w:val="909"/>
    <w:next w:val="909"/>
    <w:link w:val="86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6">
    <w:name w:val="Heading 6"/>
    <w:basedOn w:val="909"/>
    <w:next w:val="909"/>
    <w:link w:val="86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7">
    <w:name w:val="Heading 7"/>
    <w:basedOn w:val="909"/>
    <w:next w:val="909"/>
    <w:link w:val="86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58">
    <w:name w:val="Heading 8"/>
    <w:basedOn w:val="909"/>
    <w:next w:val="909"/>
    <w:link w:val="86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59">
    <w:name w:val="Heading 9"/>
    <w:basedOn w:val="909"/>
    <w:next w:val="909"/>
    <w:link w:val="86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60" w:default="1">
    <w:name w:val="Default Paragraph Font"/>
    <w:uiPriority w:val="1"/>
    <w:semiHidden/>
    <w:unhideWhenUsed/>
    <w:pPr>
      <w:pBdr/>
      <w:spacing/>
      <w:ind/>
    </w:pPr>
  </w:style>
  <w:style w:type="character" w:styleId="861">
    <w:name w:val="Heading 1 Char"/>
    <w:basedOn w:val="860"/>
    <w:link w:val="8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62">
    <w:name w:val="Heading 2 Char"/>
    <w:basedOn w:val="860"/>
    <w:link w:val="8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3">
    <w:name w:val="Heading 3 Char"/>
    <w:basedOn w:val="860"/>
    <w:link w:val="85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4">
    <w:name w:val="Heading 4 Char"/>
    <w:basedOn w:val="860"/>
    <w:link w:val="85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65">
    <w:name w:val="Heading 5 Char"/>
    <w:basedOn w:val="860"/>
    <w:link w:val="8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66">
    <w:name w:val="Heading 6 Char"/>
    <w:basedOn w:val="860"/>
    <w:link w:val="85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7">
    <w:name w:val="Heading 7 Char"/>
    <w:basedOn w:val="860"/>
    <w:link w:val="85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8">
    <w:name w:val="Heading 8 Char"/>
    <w:basedOn w:val="860"/>
    <w:link w:val="85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9">
    <w:name w:val="Heading 9 Char"/>
    <w:basedOn w:val="860"/>
    <w:link w:val="85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70">
    <w:name w:val="Title"/>
    <w:basedOn w:val="909"/>
    <w:next w:val="909"/>
    <w:link w:val="87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71">
    <w:name w:val="Title Char"/>
    <w:basedOn w:val="860"/>
    <w:link w:val="87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72">
    <w:name w:val="Subtitle"/>
    <w:basedOn w:val="909"/>
    <w:next w:val="909"/>
    <w:link w:val="87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3">
    <w:name w:val="Subtitle Char"/>
    <w:basedOn w:val="860"/>
    <w:link w:val="87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4">
    <w:name w:val="Quote"/>
    <w:basedOn w:val="909"/>
    <w:next w:val="909"/>
    <w:link w:val="87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75">
    <w:name w:val="Quote Char"/>
    <w:basedOn w:val="860"/>
    <w:link w:val="87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76">
    <w:name w:val="Intense Emphasis"/>
    <w:basedOn w:val="86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7">
    <w:name w:val="Intense Quote"/>
    <w:basedOn w:val="909"/>
    <w:next w:val="909"/>
    <w:link w:val="87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8">
    <w:name w:val="Intense Quote Char"/>
    <w:basedOn w:val="860"/>
    <w:link w:val="87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9">
    <w:name w:val="Intense Reference"/>
    <w:basedOn w:val="86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80">
    <w:name w:val="Subtle Emphasis"/>
    <w:basedOn w:val="86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81">
    <w:name w:val="Emphasis"/>
    <w:basedOn w:val="860"/>
    <w:uiPriority w:val="20"/>
    <w:qFormat/>
    <w:pPr>
      <w:pBdr/>
      <w:spacing/>
      <w:ind/>
    </w:pPr>
    <w:rPr>
      <w:i/>
      <w:iCs/>
    </w:rPr>
  </w:style>
  <w:style w:type="character" w:styleId="882">
    <w:name w:val="Strong"/>
    <w:basedOn w:val="860"/>
    <w:uiPriority w:val="22"/>
    <w:qFormat/>
    <w:pPr>
      <w:pBdr/>
      <w:spacing/>
      <w:ind/>
    </w:pPr>
    <w:rPr>
      <w:b/>
      <w:bCs/>
    </w:rPr>
  </w:style>
  <w:style w:type="character" w:styleId="883">
    <w:name w:val="Subtle Reference"/>
    <w:basedOn w:val="86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84">
    <w:name w:val="Book Title"/>
    <w:basedOn w:val="86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85">
    <w:name w:val="Header"/>
    <w:basedOn w:val="909"/>
    <w:link w:val="88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6">
    <w:name w:val="Header Char"/>
    <w:basedOn w:val="860"/>
    <w:link w:val="885"/>
    <w:uiPriority w:val="99"/>
    <w:pPr>
      <w:pBdr/>
      <w:spacing/>
      <w:ind/>
    </w:pPr>
  </w:style>
  <w:style w:type="paragraph" w:styleId="887">
    <w:name w:val="Footer"/>
    <w:basedOn w:val="909"/>
    <w:link w:val="88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8">
    <w:name w:val="Footer Char"/>
    <w:basedOn w:val="860"/>
    <w:link w:val="887"/>
    <w:uiPriority w:val="99"/>
    <w:pPr>
      <w:pBdr/>
      <w:spacing/>
      <w:ind/>
    </w:pPr>
  </w:style>
  <w:style w:type="paragraph" w:styleId="889">
    <w:name w:val="Caption"/>
    <w:basedOn w:val="909"/>
    <w:next w:val="909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90">
    <w:name w:val="footnote text"/>
    <w:basedOn w:val="909"/>
    <w:link w:val="89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1">
    <w:name w:val="Footnote Text Char"/>
    <w:basedOn w:val="860"/>
    <w:link w:val="890"/>
    <w:uiPriority w:val="99"/>
    <w:semiHidden/>
    <w:pPr>
      <w:pBdr/>
      <w:spacing/>
      <w:ind/>
    </w:pPr>
    <w:rPr>
      <w:sz w:val="20"/>
      <w:szCs w:val="20"/>
    </w:rPr>
  </w:style>
  <w:style w:type="character" w:styleId="892">
    <w:name w:val="footnote reference"/>
    <w:basedOn w:val="860"/>
    <w:uiPriority w:val="99"/>
    <w:semiHidden/>
    <w:unhideWhenUsed/>
    <w:pPr>
      <w:pBdr/>
      <w:spacing/>
      <w:ind/>
    </w:pPr>
    <w:rPr>
      <w:vertAlign w:val="superscript"/>
    </w:rPr>
  </w:style>
  <w:style w:type="paragraph" w:styleId="893">
    <w:name w:val="endnote text"/>
    <w:basedOn w:val="909"/>
    <w:link w:val="89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4">
    <w:name w:val="Endnote Text Char"/>
    <w:basedOn w:val="860"/>
    <w:link w:val="893"/>
    <w:uiPriority w:val="99"/>
    <w:semiHidden/>
    <w:pPr>
      <w:pBdr/>
      <w:spacing/>
      <w:ind/>
    </w:pPr>
    <w:rPr>
      <w:sz w:val="20"/>
      <w:szCs w:val="20"/>
    </w:rPr>
  </w:style>
  <w:style w:type="character" w:styleId="895">
    <w:name w:val="endnote reference"/>
    <w:basedOn w:val="860"/>
    <w:uiPriority w:val="99"/>
    <w:semiHidden/>
    <w:unhideWhenUsed/>
    <w:pPr>
      <w:pBdr/>
      <w:spacing/>
      <w:ind/>
    </w:pPr>
    <w:rPr>
      <w:vertAlign w:val="superscript"/>
    </w:rPr>
  </w:style>
  <w:style w:type="character" w:styleId="896">
    <w:name w:val="Hyperlink"/>
    <w:basedOn w:val="86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7">
    <w:name w:val="FollowedHyperlink"/>
    <w:basedOn w:val="86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8">
    <w:name w:val="toc 1"/>
    <w:basedOn w:val="909"/>
    <w:next w:val="909"/>
    <w:uiPriority w:val="39"/>
    <w:unhideWhenUsed/>
    <w:pPr>
      <w:pBdr/>
      <w:spacing w:after="100"/>
      <w:ind/>
    </w:pPr>
  </w:style>
  <w:style w:type="paragraph" w:styleId="899">
    <w:name w:val="toc 2"/>
    <w:basedOn w:val="909"/>
    <w:next w:val="909"/>
    <w:uiPriority w:val="39"/>
    <w:unhideWhenUsed/>
    <w:pPr>
      <w:pBdr/>
      <w:spacing w:after="100"/>
      <w:ind w:left="220"/>
    </w:pPr>
  </w:style>
  <w:style w:type="paragraph" w:styleId="900">
    <w:name w:val="toc 3"/>
    <w:basedOn w:val="909"/>
    <w:next w:val="909"/>
    <w:uiPriority w:val="39"/>
    <w:unhideWhenUsed/>
    <w:pPr>
      <w:pBdr/>
      <w:spacing w:after="100"/>
      <w:ind w:left="440"/>
    </w:pPr>
  </w:style>
  <w:style w:type="paragraph" w:styleId="901">
    <w:name w:val="toc 4"/>
    <w:basedOn w:val="909"/>
    <w:next w:val="909"/>
    <w:uiPriority w:val="39"/>
    <w:unhideWhenUsed/>
    <w:pPr>
      <w:pBdr/>
      <w:spacing w:after="100"/>
      <w:ind w:left="660"/>
    </w:pPr>
  </w:style>
  <w:style w:type="paragraph" w:styleId="902">
    <w:name w:val="toc 5"/>
    <w:basedOn w:val="909"/>
    <w:next w:val="909"/>
    <w:uiPriority w:val="39"/>
    <w:unhideWhenUsed/>
    <w:pPr>
      <w:pBdr/>
      <w:spacing w:after="100"/>
      <w:ind w:left="880"/>
    </w:pPr>
  </w:style>
  <w:style w:type="paragraph" w:styleId="903">
    <w:name w:val="toc 6"/>
    <w:basedOn w:val="909"/>
    <w:next w:val="909"/>
    <w:uiPriority w:val="39"/>
    <w:unhideWhenUsed/>
    <w:pPr>
      <w:pBdr/>
      <w:spacing w:after="100"/>
      <w:ind w:left="1100"/>
    </w:pPr>
  </w:style>
  <w:style w:type="paragraph" w:styleId="904">
    <w:name w:val="toc 7"/>
    <w:basedOn w:val="909"/>
    <w:next w:val="909"/>
    <w:uiPriority w:val="39"/>
    <w:unhideWhenUsed/>
    <w:pPr>
      <w:pBdr/>
      <w:spacing w:after="100"/>
      <w:ind w:left="1320"/>
    </w:pPr>
  </w:style>
  <w:style w:type="paragraph" w:styleId="905">
    <w:name w:val="toc 8"/>
    <w:basedOn w:val="909"/>
    <w:next w:val="909"/>
    <w:uiPriority w:val="39"/>
    <w:unhideWhenUsed/>
    <w:pPr>
      <w:pBdr/>
      <w:spacing w:after="100"/>
      <w:ind w:left="1540"/>
    </w:pPr>
  </w:style>
  <w:style w:type="paragraph" w:styleId="906">
    <w:name w:val="toc 9"/>
    <w:basedOn w:val="909"/>
    <w:next w:val="909"/>
    <w:uiPriority w:val="39"/>
    <w:unhideWhenUsed/>
    <w:pPr>
      <w:pBdr/>
      <w:spacing w:after="100"/>
      <w:ind w:left="1760"/>
    </w:pPr>
  </w:style>
  <w:style w:type="paragraph" w:styleId="907">
    <w:name w:val="TOC Heading"/>
    <w:uiPriority w:val="39"/>
    <w:unhideWhenUsed/>
    <w:pPr>
      <w:pBdr/>
      <w:spacing/>
      <w:ind/>
    </w:pPr>
  </w:style>
  <w:style w:type="paragraph" w:styleId="908">
    <w:name w:val="table of figures"/>
    <w:basedOn w:val="909"/>
    <w:next w:val="909"/>
    <w:uiPriority w:val="99"/>
    <w:unhideWhenUsed/>
    <w:pPr>
      <w:pBdr/>
      <w:spacing w:after="0" w:afterAutospacing="0"/>
      <w:ind/>
    </w:pPr>
  </w:style>
  <w:style w:type="paragraph" w:styleId="909" w:default="1">
    <w:name w:val="Normal"/>
    <w:qFormat/>
    <w:pPr>
      <w:pBdr/>
      <w:spacing/>
      <w:ind/>
    </w:pPr>
  </w:style>
  <w:style w:type="table" w:styleId="9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1" w:default="1">
    <w:name w:val="No List"/>
    <w:uiPriority w:val="99"/>
    <w:semiHidden/>
    <w:unhideWhenUsed/>
    <w:pPr>
      <w:pBdr/>
      <w:spacing/>
      <w:ind/>
    </w:pPr>
  </w:style>
  <w:style w:type="paragraph" w:styleId="912">
    <w:name w:val="No Spacing"/>
    <w:basedOn w:val="909"/>
    <w:uiPriority w:val="1"/>
    <w:qFormat/>
    <w:pPr>
      <w:pBdr/>
      <w:spacing w:after="0" w:line="240" w:lineRule="auto"/>
      <w:ind/>
    </w:pPr>
  </w:style>
  <w:style w:type="paragraph" w:styleId="913">
    <w:name w:val="List Paragraph"/>
    <w:basedOn w:val="909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ONLYOFFICE/8.3.2.19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2026-01-21T22:20:45Z</dcterms:modified>
</cp:coreProperties>
</file>