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5D7" w:rsidRPr="00BD25D7" w:rsidRDefault="003F787F" w:rsidP="00BD25D7">
      <w:pPr>
        <w:spacing w:after="0" w:line="360" w:lineRule="auto"/>
        <w:jc w:val="center"/>
        <w:rPr>
          <w:rFonts w:ascii="Times New Roman Bold" w:eastAsia="Calibri" w:hAnsi="Times New Roman Bold" w:cs="Times New Roman Bold"/>
          <w:b/>
          <w:color w:val="000000"/>
          <w:sz w:val="28"/>
          <w:szCs w:val="28"/>
          <w:lang w:eastAsia="ru-RU"/>
        </w:rPr>
      </w:pPr>
      <w:r>
        <w:rPr>
          <w:rFonts w:ascii="Times New Roman Bold" w:eastAsia="Calibri" w:hAnsi="Times New Roman Bold" w:cs="Times New Roman Bold"/>
          <w:b/>
          <w:color w:val="000000"/>
          <w:sz w:val="28"/>
          <w:szCs w:val="28"/>
          <w:lang w:eastAsia="ru-RU"/>
        </w:rPr>
        <w:t>ВНЕДРЕНИЕ</w:t>
      </w:r>
      <w:r w:rsidR="00BD25D7" w:rsidRPr="00BD25D7">
        <w:rPr>
          <w:rFonts w:ascii="Times New Roman Bold" w:eastAsia="Calibri" w:hAnsi="Times New Roman Bold" w:cs="Times New Roman Bold"/>
          <w:b/>
          <w:color w:val="000000"/>
          <w:sz w:val="28"/>
          <w:szCs w:val="28"/>
          <w:lang w:eastAsia="ru-RU"/>
        </w:rPr>
        <w:t xml:space="preserve"> ННОВАЦИЙ В СИСТЕМУ УПРАВЛЕНИЯ ТРУДОВЫМИ РЕСУРСАМИ ТОРГОВОГО ПРЕДПРИЯТИЯ ООО “МАРТИН-КРЫМ”</w:t>
      </w:r>
    </w:p>
    <w:p w:rsidR="00BD25D7" w:rsidRDefault="00BD25D7" w:rsidP="00BD25D7">
      <w:pPr>
        <w:spacing w:after="0" w:line="360" w:lineRule="auto"/>
        <w:ind w:right="-1"/>
        <w:jc w:val="both"/>
        <w:rPr>
          <w:rFonts w:ascii="Times New Roman Regular" w:eastAsia="Calibri" w:hAnsi="Times New Roman Regular" w:cs="Times New Roman Regular"/>
          <w:bCs/>
          <w:color w:val="000000"/>
          <w:sz w:val="28"/>
          <w:szCs w:val="28"/>
          <w:lang w:eastAsia="ru-RU"/>
        </w:rPr>
      </w:pPr>
      <w:r w:rsidRPr="00BD25D7">
        <w:rPr>
          <w:rFonts w:ascii="Times New Roman Bold" w:eastAsia="Calibri" w:hAnsi="Times New Roman Bold" w:cs="Times New Roman Bold"/>
          <w:b/>
          <w:color w:val="000000"/>
          <w:sz w:val="28"/>
          <w:szCs w:val="28"/>
          <w:lang w:eastAsia="ru-RU"/>
        </w:rPr>
        <w:br/>
        <w:t xml:space="preserve">Аннотация. </w:t>
      </w:r>
      <w:r w:rsidRPr="00BD25D7">
        <w:rPr>
          <w:rFonts w:ascii="Times New Roman Regular" w:eastAsia="Calibri" w:hAnsi="Times New Roman Regular" w:cs="Times New Roman Regular"/>
          <w:bCs/>
          <w:color w:val="000000"/>
          <w:sz w:val="28"/>
          <w:szCs w:val="28"/>
          <w:lang w:eastAsia="ru-RU"/>
        </w:rPr>
        <w:t>Актуальность исследования заключается в том, что внедрение инноваций в систему управления трудовыми ресурсами является необходимым условием для повышения конкурентоспособности торгового предприятия, его устойчивого развития и достижения стратегических целей в условиях динамичной рыночной среды. Целью исследования является исследование внедрения инноваций в систему управления трудовыми ресурсами торгового предприятия. Методологическая основа исследования представлена методами экономического анализа, сравнительный анализ, обобщение, табличный и графический методы</w:t>
      </w:r>
      <w:r>
        <w:rPr>
          <w:rFonts w:ascii="Times New Roman Regular" w:eastAsia="Calibri" w:hAnsi="Times New Roman Regular" w:cs="Times New Roman Regular"/>
          <w:bCs/>
          <w:color w:val="000000"/>
          <w:sz w:val="28"/>
          <w:szCs w:val="28"/>
          <w:lang w:eastAsia="ru-RU"/>
        </w:rPr>
        <w:t xml:space="preserve"> </w:t>
      </w:r>
    </w:p>
    <w:p w:rsidR="00BD25D7" w:rsidRPr="00BD25D7" w:rsidRDefault="00BD25D7" w:rsidP="00BD25D7">
      <w:pPr>
        <w:spacing w:after="0" w:line="360" w:lineRule="auto"/>
        <w:ind w:right="-1" w:firstLine="709"/>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Научная новизна полученных результатов исследования заключается в комплексном подходе к оценке внедрения инноваций в систему управления персоналом. Практическая значимость – в разработке мероприятий по повышению уровня эффективности инноваций в системе управления персоналом торгового предприятия ООО «Мартин-Крым».</w:t>
      </w:r>
    </w:p>
    <w:p w:rsidR="00BD25D7" w:rsidRPr="00BD25D7" w:rsidRDefault="00BD25D7" w:rsidP="00BD25D7">
      <w:pPr>
        <w:spacing w:after="0" w:line="360" w:lineRule="auto"/>
        <w:ind w:right="-1"/>
        <w:jc w:val="both"/>
        <w:rPr>
          <w:rFonts w:ascii="Times New Roman Regular" w:eastAsia="Calibri" w:hAnsi="Times New Roman Regular" w:cs="Times New Roman Regular"/>
          <w:bCs/>
          <w:color w:val="000000"/>
          <w:sz w:val="28"/>
          <w:szCs w:val="28"/>
          <w:lang w:eastAsia="ru-RU"/>
        </w:rPr>
      </w:pPr>
      <w:r w:rsidRPr="00BD25D7">
        <w:rPr>
          <w:rFonts w:ascii="Times New Roman Bold" w:eastAsia="Calibri" w:hAnsi="Times New Roman Bold" w:cs="Times New Roman Bold"/>
          <w:b/>
          <w:color w:val="000000"/>
          <w:sz w:val="28"/>
          <w:szCs w:val="28"/>
          <w:lang w:eastAsia="ru-RU"/>
        </w:rPr>
        <w:t xml:space="preserve">Ключевые слова: </w:t>
      </w:r>
      <w:r w:rsidRPr="00BD25D7">
        <w:rPr>
          <w:rFonts w:ascii="Times New Roman Regular" w:eastAsia="Calibri" w:hAnsi="Times New Roman Regular" w:cs="Times New Roman Regular"/>
          <w:bCs/>
          <w:color w:val="000000"/>
          <w:sz w:val="28"/>
          <w:szCs w:val="28"/>
          <w:lang w:eastAsia="ru-RU"/>
        </w:rPr>
        <w:t>инновации, трудовые ресурсы, предприятие, оптовая торговля.</w:t>
      </w:r>
    </w:p>
    <w:p w:rsidR="00BD25D7" w:rsidRPr="00BD25D7" w:rsidRDefault="00BD25D7" w:rsidP="00BD25D7">
      <w:pPr>
        <w:spacing w:after="0" w:line="360" w:lineRule="auto"/>
        <w:ind w:right="-1" w:firstLine="709"/>
        <w:jc w:val="both"/>
        <w:rPr>
          <w:rFonts w:ascii="Times New Roman Regular" w:eastAsia="Calibri" w:hAnsi="Times New Roman Regular" w:cs="Times New Roman Regular"/>
          <w:bCs/>
          <w:color w:val="000000"/>
          <w:sz w:val="28"/>
          <w:szCs w:val="28"/>
          <w:lang w:eastAsia="ru-RU"/>
        </w:rPr>
      </w:pPr>
    </w:p>
    <w:p w:rsidR="00BD25D7" w:rsidRPr="00BD25D7" w:rsidRDefault="00BD25D7" w:rsidP="00BD25D7">
      <w:pPr>
        <w:spacing w:after="0" w:line="360" w:lineRule="auto"/>
        <w:ind w:right="-1"/>
        <w:jc w:val="both"/>
        <w:rPr>
          <w:rFonts w:ascii="Times New Roman Regular" w:eastAsia="Calibri" w:hAnsi="Times New Roman Regular" w:cs="Times New Roman Regular"/>
          <w:bCs/>
          <w:color w:val="000000"/>
          <w:sz w:val="28"/>
          <w:szCs w:val="28"/>
          <w:lang w:val="en-US" w:eastAsia="ru-RU"/>
        </w:rPr>
      </w:pPr>
      <w:r w:rsidRPr="00BD25D7">
        <w:rPr>
          <w:rFonts w:ascii="Times New Roman Bold" w:eastAsia="Calibri" w:hAnsi="Times New Roman Bold" w:cs="Times New Roman Bold"/>
          <w:b/>
          <w:color w:val="000000"/>
          <w:sz w:val="28"/>
          <w:szCs w:val="28"/>
          <w:lang w:val="en-US" w:eastAsia="ru-RU"/>
        </w:rPr>
        <w:t>Abstract</w:t>
      </w:r>
      <w:r w:rsidRPr="00BD25D7">
        <w:rPr>
          <w:rFonts w:ascii="Times New Roman Bold" w:eastAsia="Calibri" w:hAnsi="Times New Roman Bold" w:cs="Times New Roman Bold"/>
          <w:b/>
          <w:color w:val="000000"/>
          <w:sz w:val="28"/>
          <w:szCs w:val="28"/>
          <w:lang w:val="en-US" w:eastAsia="ru-RU"/>
        </w:rPr>
        <w:t>.</w:t>
      </w:r>
      <w:r w:rsidRPr="00BD25D7">
        <w:rPr>
          <w:rFonts w:ascii="Times New Roman Bold" w:eastAsia="Calibri" w:hAnsi="Times New Roman Bold" w:cs="Times New Roman Bold"/>
          <w:b/>
          <w:color w:val="000000"/>
          <w:sz w:val="28"/>
          <w:szCs w:val="28"/>
          <w:lang w:val="en-US" w:eastAsia="ru-RU"/>
        </w:rPr>
        <w:t xml:space="preserve"> </w:t>
      </w:r>
      <w:r w:rsidRPr="00BD25D7">
        <w:rPr>
          <w:rFonts w:ascii="Times New Roman Regular" w:eastAsia="Calibri" w:hAnsi="Times New Roman Regular" w:cs="Times New Roman Regular"/>
          <w:bCs/>
          <w:color w:val="000000"/>
          <w:sz w:val="28"/>
          <w:szCs w:val="28"/>
          <w:lang w:val="en-US" w:eastAsia="ru-RU"/>
        </w:rPr>
        <w:t>The relevance of the research lies in the fact that the introduction of innovations in the human resource management system is a prerequisite for increasing the competitiveness of a trading company, its sustainable development and achieving strategic goals in a dynamic market environment. The purpose of the study is to study the introduction of innovations into the human resource management system of a trading company. The methodological basis of the research is represented by the methods of economic analysis, comparative analysis, generalization, tabular and graphical methods.</w:t>
      </w:r>
    </w:p>
    <w:p w:rsidR="00BD25D7" w:rsidRPr="00BD25D7" w:rsidRDefault="00BD25D7" w:rsidP="00BD25D7">
      <w:pPr>
        <w:spacing w:after="0" w:line="360" w:lineRule="auto"/>
        <w:ind w:right="-1" w:firstLine="709"/>
        <w:jc w:val="both"/>
        <w:rPr>
          <w:rFonts w:ascii="Times New Roman Regular" w:eastAsia="Calibri" w:hAnsi="Times New Roman Regular" w:cs="Times New Roman Regular"/>
          <w:bCs/>
          <w:color w:val="000000"/>
          <w:sz w:val="28"/>
          <w:szCs w:val="28"/>
          <w:lang w:val="en-US" w:eastAsia="ru-RU"/>
        </w:rPr>
      </w:pPr>
      <w:r w:rsidRPr="00BD25D7">
        <w:rPr>
          <w:rFonts w:ascii="Times New Roman Regular" w:eastAsia="Calibri" w:hAnsi="Times New Roman Regular" w:cs="Times New Roman Regular"/>
          <w:bCs/>
          <w:color w:val="000000"/>
          <w:sz w:val="28"/>
          <w:szCs w:val="28"/>
          <w:lang w:val="en-US" w:eastAsia="ru-RU"/>
        </w:rPr>
        <w:lastRenderedPageBreak/>
        <w:t>The scientific novelty of the research results lies in an integrated approach to assessing the implementation of innovations in the personnel management system. Practical significance lies in the development of measures to improve the efficiency of innovations in the personnel management system of the trading company Martin-Crimea LLC.</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Bold" w:eastAsia="Calibri" w:hAnsi="Times New Roman Bold" w:cs="Times New Roman Bold"/>
          <w:b/>
          <w:color w:val="000000"/>
          <w:sz w:val="28"/>
          <w:szCs w:val="28"/>
          <w:lang w:val="en-US" w:eastAsia="ru-RU"/>
        </w:rPr>
        <w:t>Keywords:</w:t>
      </w:r>
      <w:r w:rsidRPr="00BD25D7">
        <w:rPr>
          <w:rFonts w:ascii="Times New Roman Regular" w:eastAsia="Calibri" w:hAnsi="Times New Roman Regular" w:cs="Times New Roman Regular"/>
          <w:bCs/>
          <w:color w:val="000000"/>
          <w:sz w:val="28"/>
          <w:szCs w:val="28"/>
          <w:lang w:val="en-US" w:eastAsia="ru-RU"/>
        </w:rPr>
        <w:t xml:space="preserve"> innovation, human resources, enterprise, wholesale trade.</w:t>
      </w:r>
      <w:r w:rsidRPr="00BD25D7">
        <w:rPr>
          <w:rFonts w:ascii="Times New Roman Regular" w:eastAsia="Calibri" w:hAnsi="Times New Roman Regular" w:cs="Times New Roman Regular"/>
          <w:bCs/>
          <w:color w:val="000000"/>
          <w:sz w:val="28"/>
          <w:szCs w:val="28"/>
          <w:lang w:val="en-US" w:eastAsia="ru-RU"/>
        </w:rPr>
        <w:br/>
      </w:r>
      <w:r w:rsidRPr="00BD25D7">
        <w:rPr>
          <w:rFonts w:ascii="Times New Roman Regular" w:eastAsia="Calibri" w:hAnsi="Times New Roman Regular" w:cs="Times New Roman Regular"/>
          <w:bCs/>
          <w:color w:val="000000"/>
          <w:sz w:val="28"/>
          <w:szCs w:val="28"/>
          <w:lang w:val="en-US" w:eastAsia="ru-RU"/>
        </w:rPr>
        <w:br/>
      </w:r>
      <w:r w:rsidRPr="00BD25D7">
        <w:rPr>
          <w:rFonts w:ascii="Times New Roman Regular" w:eastAsia="Calibri" w:hAnsi="Times New Roman Regular" w:cs="Times New Roman Regular"/>
          <w:bCs/>
          <w:color w:val="000000"/>
          <w:sz w:val="28"/>
          <w:szCs w:val="28"/>
          <w:lang w:eastAsia="ru-RU"/>
        </w:rPr>
        <w:t>Актуальность исследования заключается в том, что внедрение инноваций в систему управления трудовыми ресурсами является необходимым условием для повышения конкурентоспособности торгового предприятия, его устойчивого развития и достижения стратегических целей в условиях динамичной рыночной среды.</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Целью исследования является исследование внедрения инноваций в систему управления трудовыми ресурсами торгового предприятия. Для достижения поставленной цели необходимо решить ряд задач:</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изучить сущность и особенности управления трудовыми ресурсами;</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рассмотреть инновационные методы и подходы к управлению трудовыми ресурсами;</w:t>
      </w:r>
    </w:p>
    <w:p w:rsidR="00BD25D7" w:rsidRPr="00BD25D7" w:rsidRDefault="00BD25D7" w:rsidP="00870D08">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изучить организационно-экономическую характеристику торгового предприятия ООО «Мартин-Крым»;</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оценить эффективность управления трудовыми ресурсами торгового предприятия ООО «Мартин-Крым»;</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предложить мероприятия по внедрению инноваций в систему управления торгового предприятия ООО «Мартин-Крым»;</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провести экономическое обоснование предложенных мероприятий.</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Предметом исследования являются теоретико-методические и прикладные аспекты оценки внедрения инноваций в систему управления трудовыми ресурсами торгового предприятия.</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lastRenderedPageBreak/>
        <w:t>Объектом исследования является процесс оценки внедрения инноваций в систему управления трудовыми ресурсами торгового предприятия ООО «Мартин-Крым».</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Методы исследования. При написании выпускной квалифицированной работы были использованы методы, такие как: обобщение (подведение итогов в рамках исследования), сравнительный анализ (сравнение показателей деятельности предприятия за 2022-2024 г.); графический и табличный методы (для обобщения и наглядности изучаемого и рассчитанного материала по теме исследования).</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Информационная база исследования: официальная статистика Федеральной службы (Росстат), материалы научно-практических конференций и научных журналов, информация сети Интернет, учебная литература, отчетность предприятия ООО «Мартин-Крым».</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Научная новизна полученных результатов исследования заключается в комплексном подходе к оценке внедрения инноваций в систему управления персоналом. Это позволило определить текущее состояние кадровой политики предприятия, выявить сильные и слабые стороны деятельности, а также определить его перспективы развития и обосновать необходимость внедрения мероприятий.</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Теоретическая значимость работы состоит в изучении теоретико-методологических основ управления трудовыми ресурсами. Практическая значимость заключается в разработке мероприятий, связанных с повышением эффективности инноваций в системе управления персоналом торгового предприятия, которые могут быть использованы для улучшения показателей деятельности.</w:t>
      </w:r>
    </w:p>
    <w:p w:rsidR="00BD25D7" w:rsidRPr="00BD25D7" w:rsidRDefault="00BD25D7"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Торговое предприятие в современных условиях представляет собой достаточно сложный экономический механизм, подверженный влиянию различных факторов, изменяющейся рыночной среды. В функционировании предприятий торговли высока значимость кадрового потенциала, так как, несмотря на внедрение современных технологий, эффективность торговли в </w:t>
      </w:r>
      <w:r w:rsidRPr="00BD25D7">
        <w:rPr>
          <w:rFonts w:ascii="Times New Roman Regular" w:eastAsia="Calibri" w:hAnsi="Times New Roman Regular" w:cs="Times New Roman Regular"/>
          <w:bCs/>
          <w:color w:val="000000"/>
          <w:sz w:val="28"/>
          <w:szCs w:val="28"/>
          <w:lang w:eastAsia="ru-RU"/>
        </w:rPr>
        <w:lastRenderedPageBreak/>
        <w:t>значительной степени зависит от профессиональной деятельности работников, как организующих закупку товаров и их доставку, так и работников, непосредственно реализующих товары и торговые услуги покупателям. «Для получения достоверной и объективной информации при оценке трудовых ресурсов предприятия необходимо использовать соответствующие методы. От правильности выбора и применения методов зависит качество пр</w:t>
      </w:r>
      <w:r w:rsidR="008B16D1">
        <w:rPr>
          <w:rFonts w:ascii="Times New Roman Regular" w:eastAsia="Calibri" w:hAnsi="Times New Roman Regular" w:cs="Times New Roman Regular"/>
          <w:bCs/>
          <w:color w:val="000000"/>
          <w:sz w:val="28"/>
          <w:szCs w:val="28"/>
          <w:lang w:eastAsia="ru-RU"/>
        </w:rPr>
        <w:t>оведения финансового анализа» [</w:t>
      </w:r>
      <w:r w:rsidRPr="00BD25D7">
        <w:rPr>
          <w:rFonts w:ascii="Times New Roman Regular" w:eastAsia="Calibri" w:hAnsi="Times New Roman Regular" w:cs="Times New Roman Regular"/>
          <w:bCs/>
          <w:color w:val="000000"/>
          <w:sz w:val="28"/>
          <w:szCs w:val="28"/>
          <w:lang w:eastAsia="ru-RU"/>
        </w:rPr>
        <w:t xml:space="preserve">1, С.22]. </w:t>
      </w:r>
    </w:p>
    <w:p w:rsidR="00BD25D7" w:rsidRPr="00BD25D7" w:rsidRDefault="008B16D1" w:rsidP="00365609">
      <w:pPr>
        <w:spacing w:after="0" w:line="360" w:lineRule="auto"/>
        <w:ind w:firstLine="709"/>
        <w:contextualSpacing/>
        <w:jc w:val="both"/>
        <w:rPr>
          <w:rFonts w:ascii="Times New Roman Regular" w:eastAsia="Calibri" w:hAnsi="Times New Roman Regular" w:cs="Times New Roman Regular"/>
          <w:bCs/>
          <w:color w:val="000000"/>
          <w:sz w:val="28"/>
          <w:szCs w:val="28"/>
          <w:lang w:eastAsia="ru-RU"/>
        </w:rPr>
      </w:pPr>
      <w:r>
        <w:rPr>
          <w:rFonts w:ascii="Times New Roman Regular" w:eastAsia="Calibri" w:hAnsi="Times New Roman Regular" w:cs="Times New Roman Regular"/>
          <w:bCs/>
          <w:color w:val="000000"/>
          <w:sz w:val="28"/>
          <w:szCs w:val="28"/>
          <w:lang w:eastAsia="ru-RU"/>
        </w:rPr>
        <w:t>На рисунке 1</w:t>
      </w:r>
      <w:r w:rsidR="00BD25D7" w:rsidRPr="00BD25D7">
        <w:rPr>
          <w:rFonts w:ascii="Times New Roman Regular" w:eastAsia="Calibri" w:hAnsi="Times New Roman Regular" w:cs="Times New Roman Regular"/>
          <w:bCs/>
          <w:color w:val="000000"/>
          <w:sz w:val="28"/>
          <w:szCs w:val="28"/>
          <w:lang w:eastAsia="ru-RU"/>
        </w:rPr>
        <w:t xml:space="preserve"> представлены основные методы оценки управления трудовыми ресурсами предприятия.</w:t>
      </w:r>
    </w:p>
    <w:p w:rsidR="00BD25D7" w:rsidRPr="00BD25D7" w:rsidRDefault="00BD25D7" w:rsidP="00BD25D7">
      <w:pPr>
        <w:spacing w:line="360" w:lineRule="auto"/>
        <w:ind w:right="-1"/>
        <w:jc w:val="both"/>
        <w:rPr>
          <w:rFonts w:ascii="Times New Roman Regular" w:eastAsia="Calibri" w:hAnsi="Times New Roman Regular" w:cs="Times New Roman Regular"/>
          <w:bCs/>
          <w:color w:val="000000"/>
          <w:sz w:val="28"/>
          <w:szCs w:val="28"/>
          <w:lang w:eastAsia="ru-RU"/>
        </w:rPr>
      </w:pPr>
    </w:p>
    <w:p w:rsidR="00BD25D7" w:rsidRPr="00BD25D7" w:rsidRDefault="00BD25D7" w:rsidP="00BD25D7">
      <w:pPr>
        <w:spacing w:line="360" w:lineRule="auto"/>
        <w:ind w:right="-1"/>
        <w:jc w:val="both"/>
        <w:rPr>
          <w:rFonts w:ascii="Times New Roman Regular" w:eastAsia="Calibri" w:hAnsi="Times New Roman Regular" w:cs="Times New Roman Regular"/>
          <w:bCs/>
          <w:color w:val="000000"/>
          <w:sz w:val="28"/>
          <w:szCs w:val="28"/>
          <w:lang w:val="en-US" w:eastAsia="ru-RU"/>
        </w:rPr>
      </w:pPr>
      <w:r w:rsidRPr="00BD25D7">
        <w:rPr>
          <w:rFonts w:ascii="Times New Roman Regular" w:eastAsia="Calibri" w:hAnsi="Times New Roman Regular" w:cs="Times New Roman Regular"/>
          <w:bCs/>
          <w:noProof/>
          <w:color w:val="000000"/>
          <w:sz w:val="28"/>
          <w:szCs w:val="28"/>
          <w:lang w:eastAsia="ru-RU"/>
        </w:rPr>
        <w:drawing>
          <wp:inline distT="0" distB="0" distL="0" distR="0" wp14:anchorId="1E3B1754" wp14:editId="5BFAB087">
            <wp:extent cx="5486400" cy="2773680"/>
            <wp:effectExtent l="0" t="0" r="0" b="26670"/>
            <wp:docPr id="1"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BD25D7" w:rsidRPr="00BD25D7" w:rsidRDefault="008B16D1" w:rsidP="00365609">
      <w:pPr>
        <w:spacing w:after="0" w:line="240" w:lineRule="auto"/>
        <w:ind w:right="-1"/>
        <w:contextualSpacing/>
        <w:jc w:val="center"/>
        <w:rPr>
          <w:rFonts w:ascii="Times New Roman Regular" w:eastAsia="Calibri" w:hAnsi="Times New Roman Regular" w:cs="Times New Roman Regular"/>
          <w:bCs/>
          <w:color w:val="000000"/>
          <w:sz w:val="28"/>
          <w:szCs w:val="28"/>
          <w:lang w:eastAsia="ru-RU"/>
        </w:rPr>
      </w:pPr>
      <w:r>
        <w:rPr>
          <w:rFonts w:ascii="Times New Roman Regular" w:eastAsia="Calibri" w:hAnsi="Times New Roman Regular" w:cs="Times New Roman Regular"/>
          <w:bCs/>
          <w:color w:val="000000"/>
          <w:sz w:val="28"/>
          <w:szCs w:val="28"/>
          <w:lang w:eastAsia="ru-RU"/>
        </w:rPr>
        <w:t>Рисунок 1</w:t>
      </w:r>
      <w:r w:rsidR="00BD25D7" w:rsidRPr="00BD25D7">
        <w:rPr>
          <w:rFonts w:ascii="Times New Roman Regular" w:eastAsia="Calibri" w:hAnsi="Times New Roman Regular" w:cs="Times New Roman Regular"/>
          <w:bCs/>
          <w:color w:val="000000"/>
          <w:sz w:val="28"/>
          <w:szCs w:val="28"/>
          <w:lang w:eastAsia="ru-RU"/>
        </w:rPr>
        <w:t xml:space="preserve"> – Методика оценки системы управления трудовыми ресурсами торгового предприятия</w:t>
      </w:r>
    </w:p>
    <w:p w:rsidR="00BD25D7" w:rsidRDefault="00BD25D7" w:rsidP="00365609">
      <w:pPr>
        <w:spacing w:after="0" w:line="24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Источник:</w:t>
      </w:r>
      <w:r w:rsidR="008B16D1">
        <w:rPr>
          <w:rFonts w:ascii="Times New Roman Regular" w:eastAsia="Calibri" w:hAnsi="Times New Roman Regular" w:cs="Times New Roman Regular"/>
          <w:bCs/>
          <w:color w:val="000000"/>
          <w:sz w:val="28"/>
          <w:szCs w:val="28"/>
          <w:lang w:eastAsia="ru-RU"/>
        </w:rPr>
        <w:t xml:space="preserve"> составлено автором на основе [2, С. 37; 3, С. 132;</w:t>
      </w:r>
      <w:r w:rsidRPr="00BD25D7">
        <w:rPr>
          <w:rFonts w:ascii="Times New Roman Regular" w:eastAsia="Calibri" w:hAnsi="Times New Roman Regular" w:cs="Times New Roman Regular"/>
          <w:bCs/>
          <w:color w:val="000000"/>
          <w:sz w:val="28"/>
          <w:szCs w:val="28"/>
          <w:lang w:eastAsia="ru-RU"/>
        </w:rPr>
        <w:t>].</w:t>
      </w:r>
    </w:p>
    <w:p w:rsidR="00365609" w:rsidRPr="00BD25D7" w:rsidRDefault="00365609" w:rsidP="00365609">
      <w:pPr>
        <w:spacing w:after="0" w:line="24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8B16D1"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Pr>
          <w:rFonts w:ascii="Times New Roman Regular" w:eastAsia="Calibri" w:hAnsi="Times New Roman Regular" w:cs="Times New Roman Regular"/>
          <w:bCs/>
          <w:color w:val="000000"/>
          <w:sz w:val="28"/>
          <w:szCs w:val="28"/>
          <w:lang w:eastAsia="ru-RU"/>
        </w:rPr>
        <w:t>Итак, согласно рисунку 1</w:t>
      </w:r>
      <w:r w:rsidR="00BD25D7" w:rsidRPr="00BD25D7">
        <w:rPr>
          <w:rFonts w:ascii="Times New Roman Regular" w:eastAsia="Calibri" w:hAnsi="Times New Roman Regular" w:cs="Times New Roman Regular"/>
          <w:bCs/>
          <w:color w:val="000000"/>
          <w:sz w:val="28"/>
          <w:szCs w:val="28"/>
          <w:lang w:eastAsia="ru-RU"/>
        </w:rPr>
        <w:t xml:space="preserve"> выделяют 5 основных этапов методики оценки системы управления трудовыми ресурсами торгового предприятия:</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«организационная структура системы управления персоналом –совокупность взаимосвязанных подразделений системы управления персоналом и должностных лиц. Она отражает сложившееся разделение прав, полномочий, ролей и видов деятельности персонала, объединение их в рамках </w:t>
      </w:r>
      <w:r w:rsidRPr="00BD25D7">
        <w:rPr>
          <w:rFonts w:ascii="Times New Roman Regular" w:eastAsia="Calibri" w:hAnsi="Times New Roman Regular" w:cs="Times New Roman Regular"/>
          <w:bCs/>
          <w:color w:val="000000"/>
          <w:sz w:val="28"/>
          <w:szCs w:val="28"/>
          <w:lang w:eastAsia="ru-RU"/>
        </w:rPr>
        <w:lastRenderedPageBreak/>
        <w:t xml:space="preserve">подразделений различных уровней управления, интеграцию этих </w:t>
      </w:r>
      <w:r w:rsidR="008B16D1">
        <w:rPr>
          <w:rFonts w:ascii="Times New Roman Regular" w:eastAsia="Calibri" w:hAnsi="Times New Roman Regular" w:cs="Times New Roman Regular"/>
          <w:bCs/>
          <w:color w:val="000000"/>
          <w:sz w:val="28"/>
          <w:szCs w:val="28"/>
          <w:lang w:eastAsia="ru-RU"/>
        </w:rPr>
        <w:t>подразделений в единое целое» [</w:t>
      </w:r>
      <w:r w:rsidRPr="00BD25D7">
        <w:rPr>
          <w:rFonts w:ascii="Times New Roman Regular" w:eastAsia="Calibri" w:hAnsi="Times New Roman Regular" w:cs="Times New Roman Regular"/>
          <w:bCs/>
          <w:color w:val="000000"/>
          <w:sz w:val="28"/>
          <w:szCs w:val="28"/>
          <w:lang w:eastAsia="ru-RU"/>
        </w:rPr>
        <w:t xml:space="preserve">5, С. 21]. </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Организационная структура системы управления персоналом является основой (костяком) </w:t>
      </w:r>
      <w:proofErr w:type="spellStart"/>
      <w:r w:rsidRPr="00BD25D7">
        <w:rPr>
          <w:rFonts w:ascii="Times New Roman Regular" w:eastAsia="Calibri" w:hAnsi="Times New Roman Regular" w:cs="Times New Roman Regular"/>
          <w:bCs/>
          <w:color w:val="000000"/>
          <w:sz w:val="28"/>
          <w:szCs w:val="28"/>
          <w:lang w:eastAsia="ru-RU"/>
        </w:rPr>
        <w:t>оргструктуры</w:t>
      </w:r>
      <w:proofErr w:type="spellEnd"/>
      <w:r w:rsidRPr="00BD25D7">
        <w:rPr>
          <w:rFonts w:ascii="Times New Roman Regular" w:eastAsia="Calibri" w:hAnsi="Times New Roman Regular" w:cs="Times New Roman Regular"/>
          <w:bCs/>
          <w:color w:val="000000"/>
          <w:sz w:val="28"/>
          <w:szCs w:val="28"/>
          <w:lang w:eastAsia="ru-RU"/>
        </w:rPr>
        <w:t xml:space="preserve"> управления организации. Это совокупность специализированных функциональных подразделений, взаимосвязанных в процессе обоснования, выработки, принятия и реализации управленческих решений. В зависимости от вида, размеров и целей объекта управления и его внешней среды существуют различные организационные структуры управления. Организационные структуры системы управления персоналом по подобию </w:t>
      </w:r>
      <w:proofErr w:type="spellStart"/>
      <w:r w:rsidRPr="00BD25D7">
        <w:rPr>
          <w:rFonts w:ascii="Times New Roman Regular" w:eastAsia="Calibri" w:hAnsi="Times New Roman Regular" w:cs="Times New Roman Regular"/>
          <w:bCs/>
          <w:color w:val="000000"/>
          <w:sz w:val="28"/>
          <w:szCs w:val="28"/>
          <w:lang w:eastAsia="ru-RU"/>
        </w:rPr>
        <w:t>оргструктур</w:t>
      </w:r>
      <w:proofErr w:type="spellEnd"/>
      <w:r w:rsidRPr="00BD25D7">
        <w:rPr>
          <w:rFonts w:ascii="Times New Roman Regular" w:eastAsia="Calibri" w:hAnsi="Times New Roman Regular" w:cs="Times New Roman Regular"/>
          <w:bCs/>
          <w:color w:val="000000"/>
          <w:sz w:val="28"/>
          <w:szCs w:val="28"/>
          <w:lang w:eastAsia="ru-RU"/>
        </w:rPr>
        <w:t xml:space="preserve"> управления организацией также подразделяются на несколько типов, каждый из которых отражает подход, заложенный в построении </w:t>
      </w:r>
      <w:proofErr w:type="spellStart"/>
      <w:r w:rsidRPr="00BD25D7">
        <w:rPr>
          <w:rFonts w:ascii="Times New Roman Regular" w:eastAsia="Calibri" w:hAnsi="Times New Roman Regular" w:cs="Times New Roman Regular"/>
          <w:bCs/>
          <w:color w:val="000000"/>
          <w:sz w:val="28"/>
          <w:szCs w:val="28"/>
          <w:lang w:eastAsia="ru-RU"/>
        </w:rPr>
        <w:t>оргструктуры</w:t>
      </w:r>
      <w:proofErr w:type="spellEnd"/>
      <w:r w:rsidRPr="00BD25D7">
        <w:rPr>
          <w:rFonts w:ascii="Times New Roman Regular" w:eastAsia="Calibri" w:hAnsi="Times New Roman Regular" w:cs="Times New Roman Regular"/>
          <w:bCs/>
          <w:color w:val="000000"/>
          <w:sz w:val="28"/>
          <w:szCs w:val="28"/>
          <w:lang w:eastAsia="ru-RU"/>
        </w:rPr>
        <w:t xml:space="preserve"> управления организации в целом. Чаще всего в практике встречаются элементарная, линейная, функциональная и матричная структуры.</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В современных условиях функционирования предприятия ключевым элементом его деятельности является правильная выстроенная кадровая система, которая требует периодического изучения сотрудников по социально-демографическим признакам. Анализ использования трудовых ресурсов предприятия следует начать с расчета темпа изменения численности сотрудников по отдельным категориям. Составление организационной структуры ее анализа по категориях производится на основе штатного расписания. </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Следует отметить, что состав и структура кадров изменяются в соответствии с воздействием как внутренних, так и внешних факторов.</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анализ процессов управления персоналом включает в себя: планирование, привлечение и подбор персонала. «Владение информацией является критически важным, ключевым условием успешности бизнеса. Это и данные о кандидатах при приеме на работу, и данные о сотрудниках, данные о продвижении по служебной лестнице, их профессиональные, </w:t>
      </w:r>
      <w:r w:rsidRPr="00BD25D7">
        <w:rPr>
          <w:rFonts w:ascii="Times New Roman Regular" w:eastAsia="Calibri" w:hAnsi="Times New Roman Regular" w:cs="Times New Roman Regular"/>
          <w:bCs/>
          <w:color w:val="000000"/>
          <w:sz w:val="28"/>
          <w:szCs w:val="28"/>
          <w:lang w:eastAsia="ru-RU"/>
        </w:rPr>
        <w:lastRenderedPageBreak/>
        <w:t>квалификационные и другие характеристики, медицинские и психологические параметры, производительно</w:t>
      </w:r>
      <w:r w:rsidR="008B16D1">
        <w:rPr>
          <w:rFonts w:ascii="Times New Roman Regular" w:eastAsia="Calibri" w:hAnsi="Times New Roman Regular" w:cs="Times New Roman Regular"/>
          <w:bCs/>
          <w:color w:val="000000"/>
          <w:sz w:val="28"/>
          <w:szCs w:val="28"/>
          <w:lang w:eastAsia="ru-RU"/>
        </w:rPr>
        <w:t>сть и новаторская активность» [</w:t>
      </w:r>
      <w:r w:rsidRPr="00BD25D7">
        <w:rPr>
          <w:rFonts w:ascii="Times New Roman Regular" w:eastAsia="Calibri" w:hAnsi="Times New Roman Regular" w:cs="Times New Roman Regular"/>
          <w:bCs/>
          <w:color w:val="000000"/>
          <w:sz w:val="28"/>
          <w:szCs w:val="28"/>
          <w:lang w:eastAsia="ru-RU"/>
        </w:rPr>
        <w:t xml:space="preserve">6, С.76]. </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Для того, чтобы отбор был эффективен, должны быть в первую очередь обозначены критерии, которые лягут в основу оценки преимуществ соискателей. Они зависят от специфики работы, ее содержания и требований к должности. Использование того или иного метода в процессе подбора и отбора персонала зависит от многих факторов. </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«Разные методы направлены на получение определенных сведений о соискателе: биографического характера, личностных качествах, профессионализме и его соответствия предстоящим задачам. Поэтапное прохождение кандидатами различных методов отбора, увеличивает вероятность релевантности отобранных работников у</w:t>
      </w:r>
      <w:r w:rsidR="008B16D1">
        <w:rPr>
          <w:rFonts w:ascii="Times New Roman Regular" w:eastAsia="Calibri" w:hAnsi="Times New Roman Regular" w:cs="Times New Roman Regular"/>
          <w:bCs/>
          <w:color w:val="000000"/>
          <w:sz w:val="28"/>
          <w:szCs w:val="28"/>
          <w:lang w:eastAsia="ru-RU"/>
        </w:rPr>
        <w:t xml:space="preserve">становленным критериям </w:t>
      </w:r>
      <w:proofErr w:type="gramStart"/>
      <w:r w:rsidR="008B16D1">
        <w:rPr>
          <w:rFonts w:ascii="Times New Roman Regular" w:eastAsia="Calibri" w:hAnsi="Times New Roman Regular" w:cs="Times New Roman Regular"/>
          <w:bCs/>
          <w:color w:val="000000"/>
          <w:sz w:val="28"/>
          <w:szCs w:val="28"/>
          <w:lang w:eastAsia="ru-RU"/>
        </w:rPr>
        <w:t>отбора»[</w:t>
      </w:r>
      <w:proofErr w:type="gramEnd"/>
      <w:r w:rsidRPr="00BD25D7">
        <w:rPr>
          <w:rFonts w:ascii="Times New Roman Regular" w:eastAsia="Calibri" w:hAnsi="Times New Roman Regular" w:cs="Times New Roman Regular"/>
          <w:bCs/>
          <w:color w:val="000000"/>
          <w:sz w:val="28"/>
          <w:szCs w:val="28"/>
          <w:lang w:eastAsia="ru-RU"/>
        </w:rPr>
        <w:t xml:space="preserve">7].  </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val="en-US" w:eastAsia="ru-RU"/>
        </w:rPr>
        <w:t>c</w:t>
      </w:r>
      <w:proofErr w:type="spellStart"/>
      <w:r w:rsidRPr="00BD25D7">
        <w:rPr>
          <w:rFonts w:ascii="Times New Roman Regular" w:eastAsia="Calibri" w:hAnsi="Times New Roman Regular" w:cs="Times New Roman Regular"/>
          <w:bCs/>
          <w:color w:val="000000"/>
          <w:sz w:val="28"/>
          <w:szCs w:val="28"/>
          <w:lang w:eastAsia="ru-RU"/>
        </w:rPr>
        <w:t>истема</w:t>
      </w:r>
      <w:proofErr w:type="spellEnd"/>
      <w:r w:rsidRPr="00BD25D7">
        <w:rPr>
          <w:rFonts w:ascii="Times New Roman Regular" w:eastAsia="Calibri" w:hAnsi="Times New Roman Regular" w:cs="Times New Roman Regular"/>
          <w:bCs/>
          <w:color w:val="000000"/>
          <w:sz w:val="28"/>
          <w:szCs w:val="28"/>
          <w:lang w:eastAsia="ru-RU"/>
        </w:rPr>
        <w:t xml:space="preserve"> мотивов и стимулов труда должна опираться на определённую базу – нормативный уровень трудовой деятельности.  На начальном этапе, при вступлении работника в трудовые отношения предполагается, что за выполнение определённых обязанностей назначается конкретная выплата. </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val="en-US" w:eastAsia="ru-RU"/>
        </w:rPr>
        <w:t>C</w:t>
      </w:r>
      <w:proofErr w:type="spellStart"/>
      <w:r w:rsidRPr="00BD25D7">
        <w:rPr>
          <w:rFonts w:ascii="Times New Roman Regular" w:eastAsia="Calibri" w:hAnsi="Times New Roman Regular" w:cs="Times New Roman Regular"/>
          <w:bCs/>
          <w:color w:val="000000"/>
          <w:sz w:val="28"/>
          <w:szCs w:val="28"/>
          <w:lang w:eastAsia="ru-RU"/>
        </w:rPr>
        <w:t>тимулирование</w:t>
      </w:r>
      <w:proofErr w:type="spellEnd"/>
      <w:r w:rsidRPr="00BD25D7">
        <w:rPr>
          <w:rFonts w:ascii="Times New Roman Regular" w:eastAsia="Calibri" w:hAnsi="Times New Roman Regular" w:cs="Times New Roman Regular"/>
          <w:bCs/>
          <w:color w:val="000000"/>
          <w:sz w:val="28"/>
          <w:szCs w:val="28"/>
          <w:lang w:eastAsia="ru-RU"/>
        </w:rPr>
        <w:t xml:space="preserve"> труда и мотивация могут быть материальными и нематериальными. К системе материального метода относится: заработная плата, денежные премии и участие в прибыли организации. </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Заработная плата – вознаграждение работников за труд и его конечные результаты. Предприятие обязано выплачивать заработную плату не ниже установленного минимума. В основном размер выплаты зависит от квалификации сотрудника, а также качества, количества и сложности работы. В зависимости от того, какими показателями измеряются затраты на трудовую деятельность, принято различать повременную и сдельную формы оплаты труда. При повременной форме, оплата зависит от количества отработанного рабочего времени, а при сдельной – от объема проделанной работы. В современной практике обычно используются смешанные системы – одна часть вознаграждения сотрудника зависит от результатов работы коллектива (как </w:t>
      </w:r>
      <w:r w:rsidRPr="00BD25D7">
        <w:rPr>
          <w:rFonts w:ascii="Times New Roman Regular" w:eastAsia="Calibri" w:hAnsi="Times New Roman Regular" w:cs="Times New Roman Regular"/>
          <w:bCs/>
          <w:color w:val="000000"/>
          <w:sz w:val="28"/>
          <w:szCs w:val="28"/>
          <w:lang w:eastAsia="ru-RU"/>
        </w:rPr>
        <w:lastRenderedPageBreak/>
        <w:t xml:space="preserve">правило, переменная), а другая – от индивидуальных показателей (постоянная, должностной оклад). </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Нематериальное стимулирование формирует лояльность работников и способствует эффективному производству в долгосрочной перспективе. К нему относят: благодарность от администрации организации; продвижение по службе; повышение квалификации за счет организации; присвоение звания «Лучший работник» по итогам месяца; перевод на другую работу по горизонтали и другое.</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Для каждого сотрудника нематериальные методы подбираются индивидуально с учётом потребностей и интересов, что, в свою очередь, способствует увеличению мотивации.</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«Основная цель стимулирования заключается не только в побуждении человека к трудовой деятельности, но и в побуждении делать качественней и больше того, что предусмотрено в трудовых отношениях. Формирование системы стимулирования имеет прямую связь с учетом отношения сотрудников к различным благам, с их личными особенностями, ценностными ориентирами, уровнем образования, социально-психологическим климатом и стилем руководства в трудовом коллективе и </w:t>
      </w:r>
      <w:proofErr w:type="spellStart"/>
      <w:proofErr w:type="gramStart"/>
      <w:r w:rsidRPr="00BD25D7">
        <w:rPr>
          <w:rFonts w:ascii="Times New Roman Regular" w:eastAsia="Calibri" w:hAnsi="Times New Roman Regular" w:cs="Times New Roman Regular"/>
          <w:bCs/>
          <w:color w:val="000000"/>
          <w:sz w:val="28"/>
          <w:szCs w:val="28"/>
          <w:lang w:eastAsia="ru-RU"/>
        </w:rPr>
        <w:t>т.д</w:t>
      </w:r>
      <w:proofErr w:type="spellEnd"/>
      <w:r w:rsidRPr="00BD25D7">
        <w:rPr>
          <w:rFonts w:ascii="Times New Roman Regular" w:eastAsia="Calibri" w:hAnsi="Times New Roman Regular" w:cs="Times New Roman Regular"/>
          <w:bCs/>
          <w:color w:val="000000"/>
          <w:sz w:val="28"/>
          <w:szCs w:val="28"/>
          <w:lang w:eastAsia="ru-RU"/>
        </w:rPr>
        <w:t>»[</w:t>
      </w:r>
      <w:proofErr w:type="gramEnd"/>
      <w:r w:rsidRPr="00BD25D7">
        <w:rPr>
          <w:rFonts w:ascii="Times New Roman Regular" w:eastAsia="Calibri" w:hAnsi="Times New Roman Regular" w:cs="Times New Roman Regular"/>
          <w:bCs/>
          <w:color w:val="000000"/>
          <w:sz w:val="28"/>
          <w:szCs w:val="28"/>
          <w:lang w:eastAsia="ru-RU"/>
        </w:rPr>
        <w:t>48].</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анализ эффективности использования трудового потенциала включает в себя: показатели производительности труда, уровень текучести кадров и отсутствия, уровень компетентности и квалификации персонала.</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Производительность труда на предприятии рассчитывается п</w:t>
      </w:r>
      <w:r w:rsidR="008B16D1">
        <w:rPr>
          <w:rFonts w:ascii="Times New Roman Regular" w:eastAsia="Calibri" w:hAnsi="Times New Roman Regular" w:cs="Times New Roman Regular"/>
          <w:bCs/>
          <w:color w:val="000000"/>
          <w:sz w:val="28"/>
          <w:szCs w:val="28"/>
          <w:lang w:eastAsia="ru-RU"/>
        </w:rPr>
        <w:t>о двум показателям (рисунок 2</w:t>
      </w:r>
      <w:r w:rsidRPr="00BD25D7">
        <w:rPr>
          <w:rFonts w:ascii="Times New Roman Regular" w:eastAsia="Calibri" w:hAnsi="Times New Roman Regular" w:cs="Times New Roman Regular"/>
          <w:bCs/>
          <w:color w:val="000000"/>
          <w:sz w:val="28"/>
          <w:szCs w:val="28"/>
          <w:lang w:eastAsia="ru-RU"/>
        </w:rPr>
        <w:t>)</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center"/>
        <w:rPr>
          <w:rFonts w:ascii="Times New Roman Regular" w:eastAsia="Calibri" w:hAnsi="Times New Roman Regular" w:cs="Times New Roman Regular"/>
          <w:bCs/>
          <w:color w:val="000000"/>
          <w:sz w:val="28"/>
          <w:szCs w:val="28"/>
          <w:lang w:val="en-US" w:eastAsia="ru-RU"/>
        </w:rPr>
      </w:pPr>
      <w:r w:rsidRPr="00BD25D7">
        <w:rPr>
          <w:rFonts w:ascii="Times New Roman Regular" w:eastAsia="Calibri" w:hAnsi="Times New Roman Regular" w:cs="Times New Roman Regular"/>
          <w:bCs/>
          <w:noProof/>
          <w:color w:val="000000"/>
          <w:sz w:val="28"/>
          <w:szCs w:val="28"/>
          <w:lang w:eastAsia="ru-RU"/>
        </w:rPr>
        <w:lastRenderedPageBreak/>
        <w:drawing>
          <wp:inline distT="0" distB="0" distL="0" distR="0" wp14:anchorId="3B532208" wp14:editId="7F4D5176">
            <wp:extent cx="5425440" cy="2994660"/>
            <wp:effectExtent l="0" t="0" r="10160" b="2540"/>
            <wp:docPr id="2"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49"/>
                    <pic:cNvPicPr>
                      <a:picLocks noChangeAspect="1"/>
                    </pic:cNvPicPr>
                  </pic:nvPicPr>
                  <pic:blipFill>
                    <a:blip r:embed="rId10"/>
                    <a:srcRect l="24548" t="20924" r="11375" b="22232"/>
                    <a:stretch>
                      <a:fillRect/>
                    </a:stretch>
                  </pic:blipFill>
                  <pic:spPr>
                    <a:xfrm>
                      <a:off x="0" y="0"/>
                      <a:ext cx="5467578" cy="3017919"/>
                    </a:xfrm>
                    <a:prstGeom prst="rect">
                      <a:avLst/>
                    </a:prstGeom>
                    <a:ln>
                      <a:noFill/>
                    </a:ln>
                  </pic:spPr>
                </pic:pic>
              </a:graphicData>
            </a:graphic>
          </wp:inline>
        </w:drawing>
      </w:r>
    </w:p>
    <w:p w:rsidR="00BD25D7" w:rsidRPr="00BD25D7" w:rsidRDefault="008B16D1" w:rsidP="00365609">
      <w:pPr>
        <w:spacing w:after="0" w:line="240" w:lineRule="auto"/>
        <w:ind w:right="-1"/>
        <w:contextualSpacing/>
        <w:jc w:val="both"/>
        <w:rPr>
          <w:rFonts w:ascii="Times New Roman Regular" w:eastAsia="Calibri" w:hAnsi="Times New Roman Regular" w:cs="Times New Roman Regular"/>
          <w:bCs/>
          <w:color w:val="000000"/>
          <w:sz w:val="28"/>
          <w:szCs w:val="28"/>
          <w:lang w:eastAsia="ru-RU"/>
        </w:rPr>
      </w:pPr>
      <w:r>
        <w:rPr>
          <w:rFonts w:ascii="Times New Roman Regular" w:eastAsia="Calibri" w:hAnsi="Times New Roman Regular" w:cs="Times New Roman Regular"/>
          <w:bCs/>
          <w:color w:val="000000"/>
          <w:sz w:val="28"/>
          <w:szCs w:val="28"/>
          <w:lang w:eastAsia="ru-RU"/>
        </w:rPr>
        <w:t>Рисунок 2</w:t>
      </w:r>
      <w:r w:rsidR="00BD25D7" w:rsidRPr="00BD25D7">
        <w:rPr>
          <w:rFonts w:ascii="Times New Roman Regular" w:eastAsia="Calibri" w:hAnsi="Times New Roman Regular" w:cs="Times New Roman Regular"/>
          <w:bCs/>
          <w:color w:val="000000"/>
          <w:sz w:val="28"/>
          <w:szCs w:val="28"/>
          <w:lang w:eastAsia="ru-RU"/>
        </w:rPr>
        <w:t xml:space="preserve"> – Показатели производительности труда</w:t>
      </w:r>
    </w:p>
    <w:p w:rsidR="00BD25D7" w:rsidRPr="00BD25D7" w:rsidRDefault="00BD25D7" w:rsidP="00365609">
      <w:pPr>
        <w:spacing w:after="0" w:line="24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 Ис</w:t>
      </w:r>
      <w:r w:rsidR="008B16D1">
        <w:rPr>
          <w:rFonts w:ascii="Times New Roman Regular" w:eastAsia="Calibri" w:hAnsi="Times New Roman Regular" w:cs="Times New Roman Regular"/>
          <w:bCs/>
          <w:color w:val="000000"/>
          <w:sz w:val="28"/>
          <w:szCs w:val="28"/>
          <w:lang w:eastAsia="ru-RU"/>
        </w:rPr>
        <w:t>точник: составлено автором по [</w:t>
      </w:r>
      <w:r w:rsidRPr="00BD25D7">
        <w:rPr>
          <w:rFonts w:ascii="Times New Roman Regular" w:eastAsia="Calibri" w:hAnsi="Times New Roman Regular" w:cs="Times New Roman Regular"/>
          <w:bCs/>
          <w:color w:val="000000"/>
          <w:sz w:val="28"/>
          <w:szCs w:val="28"/>
          <w:lang w:eastAsia="ru-RU"/>
        </w:rPr>
        <w:t>9, С. 89; 50]</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Показатели производительности труда (выработка и трудоемкость) взаимообратные, так как при увеличении выработки трудоемкость сокращается.</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Однако изменение происходит не пропорционально, поскольку выработка увеличивается в большей степени, чем уменьшается трудоемкость. Их взаимосвязь </w:t>
      </w:r>
      <w:r w:rsidR="006F2562">
        <w:rPr>
          <w:rFonts w:ascii="Times New Roman Regular" w:eastAsia="Calibri" w:hAnsi="Times New Roman Regular" w:cs="Times New Roman Regular"/>
          <w:bCs/>
          <w:color w:val="000000"/>
          <w:sz w:val="28"/>
          <w:szCs w:val="28"/>
          <w:lang w:eastAsia="ru-RU"/>
        </w:rPr>
        <w:t>можно выразить через формулы 1 –</w:t>
      </w:r>
      <w:r w:rsidRPr="00BD25D7">
        <w:rPr>
          <w:rFonts w:ascii="Times New Roman Regular" w:eastAsia="Calibri" w:hAnsi="Times New Roman Regular" w:cs="Times New Roman Regular"/>
          <w:bCs/>
          <w:color w:val="000000"/>
          <w:sz w:val="28"/>
          <w:szCs w:val="28"/>
          <w:lang w:eastAsia="ru-RU"/>
        </w:rPr>
        <w:t>2:</w:t>
      </w:r>
    </w:p>
    <w:p w:rsidR="00BD25D7" w:rsidRPr="00BD25D7" w:rsidRDefault="00BD25D7" w:rsidP="00365609">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                                                      </w:t>
      </w:r>
      <m:oMath>
        <m:r>
          <m:rPr>
            <m:nor/>
          </m:rPr>
          <w:rPr>
            <w:rFonts w:ascii="DejaVu Math TeX Gyre" w:eastAsia="Calibri" w:hAnsi="DejaVu Math TeX Gyre" w:cs="Times New Roman Regular"/>
            <w:bCs/>
            <w:color w:val="000000"/>
            <w:sz w:val="28"/>
            <w:szCs w:val="28"/>
            <w:lang w:eastAsia="ru-RU"/>
          </w:rPr>
          <m:t>ПВ=</m:t>
        </m:r>
        <m:f>
          <m:fPr>
            <m:ctrlPr>
              <w:rPr>
                <w:rFonts w:ascii="Cambria Math" w:eastAsia="Calibri" w:hAnsi="Cambria Math" w:cs="Times New Roman Regular"/>
                <w:bCs/>
                <w:color w:val="000000"/>
                <w:sz w:val="28"/>
                <w:szCs w:val="28"/>
                <w:lang w:val="en-US" w:eastAsia="ru-RU"/>
              </w:rPr>
            </m:ctrlPr>
          </m:fPr>
          <m:num>
            <m:r>
              <m:rPr>
                <m:nor/>
              </m:rPr>
              <w:rPr>
                <w:rFonts w:ascii="DejaVu Math TeX Gyre" w:eastAsia="Calibri" w:hAnsi="DejaVu Math TeX Gyre" w:cs="Times New Roman Regular"/>
                <w:bCs/>
                <w:color w:val="000000"/>
                <w:sz w:val="28"/>
                <w:szCs w:val="28"/>
                <w:lang w:eastAsia="ru-RU"/>
              </w:rPr>
              <m:t>100 ×СТ</m:t>
            </m:r>
          </m:num>
          <m:den>
            <m:r>
              <m:rPr>
                <m:nor/>
              </m:rPr>
              <w:rPr>
                <w:rFonts w:ascii="DejaVu Math TeX Gyre" w:eastAsia="Calibri" w:hAnsi="DejaVu Math TeX Gyre" w:cs="Times New Roman Regular"/>
                <w:bCs/>
                <w:color w:val="000000"/>
                <w:sz w:val="28"/>
                <w:szCs w:val="28"/>
                <w:lang w:eastAsia="ru-RU"/>
              </w:rPr>
              <m:t>(100-СТ)</m:t>
            </m:r>
          </m:den>
        </m:f>
      </m:oMath>
      <w:r w:rsidRPr="00BD25D7">
        <w:rPr>
          <w:rFonts w:ascii="Times New Roman Regular" w:eastAsia="Calibri" w:hAnsi="Times New Roman Regular" w:cs="Times New Roman Regular"/>
          <w:bCs/>
          <w:color w:val="000000"/>
          <w:sz w:val="28"/>
          <w:szCs w:val="28"/>
          <w:lang w:eastAsia="ru-RU"/>
        </w:rPr>
        <w:t xml:space="preserve">                             </w:t>
      </w:r>
      <w:r w:rsidR="006F2562">
        <w:rPr>
          <w:rFonts w:ascii="Times New Roman Regular" w:eastAsia="Calibri" w:hAnsi="Times New Roman Regular" w:cs="Times New Roman Regular"/>
          <w:bCs/>
          <w:color w:val="000000"/>
          <w:sz w:val="28"/>
          <w:szCs w:val="28"/>
          <w:lang w:eastAsia="ru-RU"/>
        </w:rPr>
        <w:t xml:space="preserve">                            (1</w:t>
      </w:r>
      <w:r w:rsidRPr="00BD25D7">
        <w:rPr>
          <w:rFonts w:ascii="Times New Roman Regular" w:eastAsia="Calibri" w:hAnsi="Times New Roman Regular" w:cs="Times New Roman Regular"/>
          <w:bCs/>
          <w:color w:val="000000"/>
          <w:sz w:val="28"/>
          <w:szCs w:val="28"/>
          <w:lang w:eastAsia="ru-RU"/>
        </w:rPr>
        <w:t>)</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                                                      </w:t>
      </w:r>
      <m:oMath>
        <m:r>
          <m:rPr>
            <m:nor/>
          </m:rPr>
          <w:rPr>
            <w:rFonts w:ascii="DejaVu Math TeX Gyre" w:eastAsia="Calibri" w:hAnsi="DejaVu Math TeX Gyre" w:cs="Times New Roman Regular"/>
            <w:bCs/>
            <w:color w:val="000000"/>
            <w:sz w:val="28"/>
            <w:szCs w:val="28"/>
            <w:lang w:eastAsia="ru-RU"/>
          </w:rPr>
          <m:t>СТ=</m:t>
        </m:r>
        <m:f>
          <m:fPr>
            <m:ctrlPr>
              <w:rPr>
                <w:rFonts w:ascii="Cambria Math" w:eastAsia="Calibri" w:hAnsi="Cambria Math" w:cs="Times New Roman Regular"/>
                <w:bCs/>
                <w:color w:val="000000"/>
                <w:sz w:val="28"/>
                <w:szCs w:val="28"/>
                <w:lang w:val="en-US" w:eastAsia="ru-RU"/>
              </w:rPr>
            </m:ctrlPr>
          </m:fPr>
          <m:num>
            <m:r>
              <m:rPr>
                <m:nor/>
              </m:rPr>
              <w:rPr>
                <w:rFonts w:ascii="DejaVu Math TeX Gyre" w:eastAsia="Calibri" w:hAnsi="DejaVu Math TeX Gyre" w:cs="Times New Roman Regular"/>
                <w:bCs/>
                <w:color w:val="000000"/>
                <w:sz w:val="28"/>
                <w:szCs w:val="28"/>
                <w:lang w:eastAsia="ru-RU"/>
              </w:rPr>
              <m:t>100×ПВ</m:t>
            </m:r>
          </m:num>
          <m:den>
            <m:r>
              <m:rPr>
                <m:nor/>
              </m:rPr>
              <w:rPr>
                <w:rFonts w:ascii="DejaVu Math TeX Gyre" w:eastAsia="Calibri" w:hAnsi="DejaVu Math TeX Gyre" w:cs="Times New Roman Regular"/>
                <w:bCs/>
                <w:color w:val="000000"/>
                <w:sz w:val="28"/>
                <w:szCs w:val="28"/>
                <w:lang w:eastAsia="ru-RU"/>
              </w:rPr>
              <m:t>(100+ПВ)</m:t>
            </m:r>
          </m:den>
        </m:f>
      </m:oMath>
      <w:r w:rsidRPr="00BD25D7">
        <w:rPr>
          <w:rFonts w:ascii="Times New Roman Regular" w:eastAsia="Calibri" w:hAnsi="Times New Roman Regular" w:cs="Times New Roman Regular"/>
          <w:bCs/>
          <w:color w:val="000000"/>
          <w:sz w:val="28"/>
          <w:szCs w:val="28"/>
          <w:lang w:eastAsia="ru-RU"/>
        </w:rPr>
        <w:t xml:space="preserve">                   </w:t>
      </w:r>
      <w:r w:rsidR="006F2562">
        <w:rPr>
          <w:rFonts w:ascii="Times New Roman Regular" w:eastAsia="Calibri" w:hAnsi="Times New Roman Regular" w:cs="Times New Roman Regular"/>
          <w:bCs/>
          <w:color w:val="000000"/>
          <w:sz w:val="28"/>
          <w:szCs w:val="28"/>
          <w:lang w:eastAsia="ru-RU"/>
        </w:rPr>
        <w:t xml:space="preserve">                             (</w:t>
      </w:r>
      <w:r w:rsidRPr="00BD25D7">
        <w:rPr>
          <w:rFonts w:ascii="Times New Roman Regular" w:eastAsia="Calibri" w:hAnsi="Times New Roman Regular" w:cs="Times New Roman Regular"/>
          <w:bCs/>
          <w:color w:val="000000"/>
          <w:sz w:val="28"/>
          <w:szCs w:val="28"/>
          <w:lang w:eastAsia="ru-RU"/>
        </w:rPr>
        <w:t>2)</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где ПВ – повышение выработки, %</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СТ– снижение трудоемкости, %</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Таким образом, увеличить производительность труда можно за счет снижения трудоемкости, оно обеспечивается внедрением новых технологий, </w:t>
      </w:r>
      <w:r w:rsidRPr="00BD25D7">
        <w:rPr>
          <w:rFonts w:ascii="Times New Roman Regular" w:eastAsia="Calibri" w:hAnsi="Times New Roman Regular" w:cs="Times New Roman Regular"/>
          <w:bCs/>
          <w:color w:val="000000"/>
          <w:sz w:val="28"/>
          <w:szCs w:val="28"/>
          <w:lang w:eastAsia="ru-RU"/>
        </w:rPr>
        <w:lastRenderedPageBreak/>
        <w:t xml:space="preserve">автоматизацией процессов производства, а также совершенствованием организации труда. </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Коэффициент оборота по приему рабочих (</w:t>
      </w:r>
      <w:proofErr w:type="spellStart"/>
      <w:r w:rsidRPr="00BD25D7">
        <w:rPr>
          <w:rFonts w:ascii="Times New Roman Regular" w:eastAsia="Calibri" w:hAnsi="Times New Roman Regular" w:cs="Times New Roman Regular"/>
          <w:bCs/>
          <w:color w:val="000000"/>
          <w:sz w:val="28"/>
          <w:szCs w:val="28"/>
          <w:lang w:eastAsia="ru-RU"/>
        </w:rPr>
        <w:t>Кпр</w:t>
      </w:r>
      <w:proofErr w:type="spellEnd"/>
      <w:r w:rsidRPr="00BD25D7">
        <w:rPr>
          <w:rFonts w:ascii="Times New Roman Regular" w:eastAsia="Calibri" w:hAnsi="Times New Roman Regular" w:cs="Times New Roman Regular"/>
          <w:bCs/>
          <w:color w:val="000000"/>
          <w:sz w:val="28"/>
          <w:szCs w:val="28"/>
          <w:lang w:eastAsia="ru-RU"/>
        </w:rPr>
        <w:t>) рассчитывается как отношение принятых на работу к среднесписочной численности работников и определяется по формуле:</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                                                      </w:t>
      </w:r>
      <w:proofErr w:type="spellStart"/>
      <m:oMath>
        <m:r>
          <m:rPr>
            <m:nor/>
          </m:rPr>
          <w:rPr>
            <w:rFonts w:ascii="DejaVu Math TeX Gyre" w:eastAsia="Calibri" w:hAnsi="DejaVu Math TeX Gyre" w:cs="Times New Roman Regular"/>
            <w:bCs/>
            <w:color w:val="000000"/>
            <w:sz w:val="28"/>
            <w:szCs w:val="28"/>
            <w:lang w:eastAsia="ru-RU"/>
          </w:rPr>
          <m:t>Кпр</m:t>
        </m:r>
        <w:proofErr w:type="spellEnd"/>
        <m:r>
          <m:rPr>
            <m:nor/>
          </m:rPr>
          <w:rPr>
            <w:rFonts w:ascii="DejaVu Math TeX Gyre" w:eastAsia="Calibri" w:hAnsi="DejaVu Math TeX Gyre" w:cs="Times New Roman Regular"/>
            <w:bCs/>
            <w:color w:val="000000"/>
            <w:sz w:val="28"/>
            <w:szCs w:val="28"/>
            <w:lang w:eastAsia="ru-RU"/>
          </w:rPr>
          <m:t>=</m:t>
        </m:r>
        <m:f>
          <m:fPr>
            <m:ctrlPr>
              <w:rPr>
                <w:rFonts w:ascii="Cambria Math" w:eastAsia="Calibri" w:hAnsi="Cambria Math" w:cs="Times New Roman Regular"/>
                <w:bCs/>
                <w:color w:val="000000"/>
                <w:sz w:val="28"/>
                <w:szCs w:val="28"/>
                <w:lang w:val="en-US" w:eastAsia="ru-RU"/>
              </w:rPr>
            </m:ctrlPr>
          </m:fPr>
          <m:num>
            <w:proofErr w:type="spellStart"/>
            <m:r>
              <m:rPr>
                <m:nor/>
              </m:rPr>
              <w:rPr>
                <w:rFonts w:ascii="DejaVu Math TeX Gyre" w:eastAsia="Calibri" w:hAnsi="DejaVu Math TeX Gyre" w:cs="Times New Roman Regular"/>
                <w:bCs/>
                <w:color w:val="000000"/>
                <w:sz w:val="28"/>
                <w:szCs w:val="28"/>
                <w:lang w:eastAsia="ru-RU"/>
              </w:rPr>
              <m:t>Чпр</m:t>
            </m:r>
            <w:proofErr w:type="spellEnd"/>
          </m:num>
          <m:den>
            <w:proofErr w:type="spellStart"/>
            <m:r>
              <m:rPr>
                <m:nor/>
              </m:rPr>
              <w:rPr>
                <w:rFonts w:ascii="DejaVu Math TeX Gyre" w:eastAsia="Calibri" w:hAnsi="DejaVu Math TeX Gyre" w:cs="Times New Roman Regular"/>
                <w:bCs/>
                <w:color w:val="000000"/>
                <w:sz w:val="28"/>
                <w:szCs w:val="28"/>
                <w:lang w:eastAsia="ru-RU"/>
              </w:rPr>
              <m:t>Чср</m:t>
            </m:r>
            <w:proofErr w:type="spellEnd"/>
          </m:den>
        </m:f>
      </m:oMath>
      <w:r w:rsidRPr="00BD25D7">
        <w:rPr>
          <w:rFonts w:ascii="Times New Roman Regular" w:eastAsia="Calibri" w:hAnsi="Times New Roman Regular" w:cs="Times New Roman Regular"/>
          <w:bCs/>
          <w:color w:val="000000"/>
          <w:sz w:val="28"/>
          <w:szCs w:val="28"/>
          <w:lang w:eastAsia="ru-RU"/>
        </w:rPr>
        <w:t xml:space="preserve">                          </w:t>
      </w:r>
      <w:r w:rsidR="006F2562">
        <w:rPr>
          <w:rFonts w:ascii="Times New Roman Regular" w:eastAsia="Calibri" w:hAnsi="Times New Roman Regular" w:cs="Times New Roman Regular"/>
          <w:bCs/>
          <w:color w:val="000000"/>
          <w:sz w:val="28"/>
          <w:szCs w:val="28"/>
          <w:lang w:eastAsia="ru-RU"/>
        </w:rPr>
        <w:t xml:space="preserve">                             (</w:t>
      </w:r>
      <w:r w:rsidRPr="00BD25D7">
        <w:rPr>
          <w:rFonts w:ascii="Times New Roman Regular" w:eastAsia="Calibri" w:hAnsi="Times New Roman Regular" w:cs="Times New Roman Regular"/>
          <w:bCs/>
          <w:color w:val="000000"/>
          <w:sz w:val="28"/>
          <w:szCs w:val="28"/>
          <w:lang w:eastAsia="ru-RU"/>
        </w:rPr>
        <w:t>3)</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где </w:t>
      </w:r>
      <w:proofErr w:type="spellStart"/>
      <w:r w:rsidRPr="00BD25D7">
        <w:rPr>
          <w:rFonts w:ascii="Times New Roman Regular" w:eastAsia="Calibri" w:hAnsi="Times New Roman Regular" w:cs="Times New Roman Regular"/>
          <w:bCs/>
          <w:color w:val="000000"/>
          <w:sz w:val="28"/>
          <w:szCs w:val="28"/>
          <w:lang w:eastAsia="ru-RU"/>
        </w:rPr>
        <w:t>Кпр</w:t>
      </w:r>
      <w:proofErr w:type="spellEnd"/>
      <w:r w:rsidRPr="00BD25D7">
        <w:rPr>
          <w:rFonts w:ascii="Times New Roman Regular" w:eastAsia="Calibri" w:hAnsi="Times New Roman Regular" w:cs="Times New Roman Regular"/>
          <w:bCs/>
          <w:color w:val="000000"/>
          <w:sz w:val="28"/>
          <w:szCs w:val="28"/>
          <w:lang w:eastAsia="ru-RU"/>
        </w:rPr>
        <w:t xml:space="preserve"> – коэффициент оборота по приему;</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roofErr w:type="spellStart"/>
      <w:r w:rsidRPr="00BD25D7">
        <w:rPr>
          <w:rFonts w:ascii="Times New Roman Regular" w:eastAsia="Calibri" w:hAnsi="Times New Roman Regular" w:cs="Times New Roman Regular"/>
          <w:bCs/>
          <w:color w:val="000000"/>
          <w:sz w:val="28"/>
          <w:szCs w:val="28"/>
          <w:lang w:eastAsia="ru-RU"/>
        </w:rPr>
        <w:t>Чпр</w:t>
      </w:r>
      <w:proofErr w:type="spellEnd"/>
      <w:r w:rsidRPr="00BD25D7">
        <w:rPr>
          <w:rFonts w:ascii="Times New Roman Regular" w:eastAsia="Calibri" w:hAnsi="Times New Roman Regular" w:cs="Times New Roman Regular"/>
          <w:bCs/>
          <w:color w:val="000000"/>
          <w:sz w:val="28"/>
          <w:szCs w:val="28"/>
          <w:lang w:eastAsia="ru-RU"/>
        </w:rPr>
        <w:t xml:space="preserve"> – количество принятых работников за отчетный период;</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roofErr w:type="spellStart"/>
      <w:r w:rsidRPr="00BD25D7">
        <w:rPr>
          <w:rFonts w:ascii="Times New Roman Regular" w:eastAsia="Calibri" w:hAnsi="Times New Roman Regular" w:cs="Times New Roman Regular"/>
          <w:bCs/>
          <w:color w:val="000000"/>
          <w:sz w:val="28"/>
          <w:szCs w:val="28"/>
          <w:lang w:eastAsia="ru-RU"/>
        </w:rPr>
        <w:t>Чср</w:t>
      </w:r>
      <w:proofErr w:type="spellEnd"/>
      <w:r w:rsidRPr="00BD25D7">
        <w:rPr>
          <w:rFonts w:ascii="Times New Roman Regular" w:eastAsia="Calibri" w:hAnsi="Times New Roman Regular" w:cs="Times New Roman Regular"/>
          <w:bCs/>
          <w:color w:val="000000"/>
          <w:sz w:val="28"/>
          <w:szCs w:val="28"/>
          <w:lang w:eastAsia="ru-RU"/>
        </w:rPr>
        <w:t xml:space="preserve"> – среднесписочная численность работников за отчетный период. </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Коэффициент оборота по приему показывает удельный вес принятых </w:t>
      </w:r>
    </w:p>
    <w:p w:rsidR="00BD25D7" w:rsidRPr="00BD25D7" w:rsidRDefault="00BD25D7" w:rsidP="00870D08">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работников за определенный период, из чего следуют выводы о темпах обновления состава трудовых ресурсов. Высокое значение коэффициента обычно является следствием текучести кадров. Низкое значение данного показателя характеризует стабильное состояние внутренней структуры трудовых ресурсов. В условиях дефицита кадров при одновременном оттоке персонала данный показатель будет стремиться к нулю, что является крайн</w:t>
      </w:r>
      <w:r w:rsidR="006F2562">
        <w:rPr>
          <w:rFonts w:ascii="Times New Roman Regular" w:eastAsia="Calibri" w:hAnsi="Times New Roman Regular" w:cs="Times New Roman Regular"/>
          <w:bCs/>
          <w:color w:val="000000"/>
          <w:sz w:val="28"/>
          <w:szCs w:val="28"/>
          <w:lang w:eastAsia="ru-RU"/>
        </w:rPr>
        <w:t>е негативной тенденцией [8</w:t>
      </w:r>
      <w:r w:rsidRPr="00BD25D7">
        <w:rPr>
          <w:rFonts w:ascii="Times New Roman Regular" w:eastAsia="Calibri" w:hAnsi="Times New Roman Regular" w:cs="Times New Roman Regular"/>
          <w:bCs/>
          <w:color w:val="000000"/>
          <w:sz w:val="28"/>
          <w:szCs w:val="28"/>
          <w:lang w:eastAsia="ru-RU"/>
        </w:rPr>
        <w:t xml:space="preserve">]. </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Коэффициент оборота по выбытию (</w:t>
      </w:r>
      <w:proofErr w:type="spellStart"/>
      <w:r w:rsidRPr="00BD25D7">
        <w:rPr>
          <w:rFonts w:ascii="Times New Roman Regular" w:eastAsia="Calibri" w:hAnsi="Times New Roman Regular" w:cs="Times New Roman Regular"/>
          <w:bCs/>
          <w:color w:val="000000"/>
          <w:sz w:val="28"/>
          <w:szCs w:val="28"/>
          <w:lang w:eastAsia="ru-RU"/>
        </w:rPr>
        <w:t>Кв</w:t>
      </w:r>
      <w:proofErr w:type="spellEnd"/>
      <w:r w:rsidRPr="00BD25D7">
        <w:rPr>
          <w:rFonts w:ascii="Times New Roman Regular" w:eastAsia="Calibri" w:hAnsi="Times New Roman Regular" w:cs="Times New Roman Regular"/>
          <w:bCs/>
          <w:color w:val="000000"/>
          <w:sz w:val="28"/>
          <w:szCs w:val="28"/>
          <w:lang w:eastAsia="ru-RU"/>
        </w:rPr>
        <w:t>) характеризует уровень увольнений, происходящих в компании. Он определяется отношением выбывших работников к среднесписочной численности персонала и рассчитывается по формуле:</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                                                      </w:t>
      </w:r>
      <m:oMath>
        <m:r>
          <m:rPr>
            <m:nor/>
          </m:rPr>
          <w:rPr>
            <w:rFonts w:ascii="DejaVu Math TeX Gyre" w:eastAsia="Calibri" w:hAnsi="DejaVu Math TeX Gyre" w:cs="Times New Roman Regular"/>
            <w:bCs/>
            <w:color w:val="000000"/>
            <w:sz w:val="28"/>
            <w:szCs w:val="28"/>
            <w:lang w:eastAsia="ru-RU"/>
          </w:rPr>
          <m:t>Ков=</m:t>
        </m:r>
        <m:f>
          <m:fPr>
            <m:ctrlPr>
              <w:rPr>
                <w:rFonts w:ascii="Cambria Math" w:eastAsia="Calibri" w:hAnsi="Cambria Math" w:cs="Times New Roman Regular"/>
                <w:bCs/>
                <w:color w:val="000000"/>
                <w:sz w:val="28"/>
                <w:szCs w:val="28"/>
                <w:lang w:val="en-US" w:eastAsia="ru-RU"/>
              </w:rPr>
            </m:ctrlPr>
          </m:fPr>
          <m:num>
            <w:proofErr w:type="spellStart"/>
            <m:r>
              <m:rPr>
                <m:nor/>
              </m:rPr>
              <w:rPr>
                <w:rFonts w:ascii="DejaVu Math TeX Gyre" w:eastAsia="Calibri" w:hAnsi="DejaVu Math TeX Gyre" w:cs="Times New Roman Regular"/>
                <w:bCs/>
                <w:color w:val="000000"/>
                <w:sz w:val="28"/>
                <w:szCs w:val="28"/>
                <w:lang w:eastAsia="ru-RU"/>
              </w:rPr>
              <m:t>Чув</m:t>
            </m:r>
            <w:proofErr w:type="spellEnd"/>
          </m:num>
          <m:den>
            <w:proofErr w:type="spellStart"/>
            <m:r>
              <m:rPr>
                <m:nor/>
              </m:rPr>
              <w:rPr>
                <w:rFonts w:ascii="DejaVu Math TeX Gyre" w:eastAsia="Calibri" w:hAnsi="DejaVu Math TeX Gyre" w:cs="Times New Roman Regular"/>
                <w:bCs/>
                <w:color w:val="000000"/>
                <w:sz w:val="28"/>
                <w:szCs w:val="28"/>
                <w:lang w:eastAsia="ru-RU"/>
              </w:rPr>
              <m:t>Чср</m:t>
            </m:r>
            <w:proofErr w:type="spellEnd"/>
          </m:den>
        </m:f>
      </m:oMath>
      <w:r w:rsidRPr="00BD25D7">
        <w:rPr>
          <w:rFonts w:ascii="Times New Roman Regular" w:eastAsia="Calibri" w:hAnsi="Times New Roman Regular" w:cs="Times New Roman Regular"/>
          <w:bCs/>
          <w:color w:val="000000"/>
          <w:sz w:val="28"/>
          <w:szCs w:val="28"/>
          <w:lang w:eastAsia="ru-RU"/>
        </w:rPr>
        <w:t xml:space="preserve">                            </w:t>
      </w:r>
      <w:r w:rsidR="006F2562">
        <w:rPr>
          <w:rFonts w:ascii="Times New Roman Regular" w:eastAsia="Calibri" w:hAnsi="Times New Roman Regular" w:cs="Times New Roman Regular"/>
          <w:bCs/>
          <w:color w:val="000000"/>
          <w:sz w:val="28"/>
          <w:szCs w:val="28"/>
          <w:lang w:eastAsia="ru-RU"/>
        </w:rPr>
        <w:t xml:space="preserve">                             (</w:t>
      </w:r>
      <w:r w:rsidRPr="00BD25D7">
        <w:rPr>
          <w:rFonts w:ascii="Times New Roman Regular" w:eastAsia="Calibri" w:hAnsi="Times New Roman Regular" w:cs="Times New Roman Regular"/>
          <w:bCs/>
          <w:color w:val="000000"/>
          <w:sz w:val="28"/>
          <w:szCs w:val="28"/>
          <w:lang w:eastAsia="ru-RU"/>
        </w:rPr>
        <w:t>4)</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где </w:t>
      </w:r>
      <w:proofErr w:type="spellStart"/>
      <w:r w:rsidRPr="00BD25D7">
        <w:rPr>
          <w:rFonts w:ascii="Times New Roman Regular" w:eastAsia="Calibri" w:hAnsi="Times New Roman Regular" w:cs="Times New Roman Regular"/>
          <w:bCs/>
          <w:color w:val="000000"/>
          <w:sz w:val="28"/>
          <w:szCs w:val="28"/>
          <w:lang w:eastAsia="ru-RU"/>
        </w:rPr>
        <w:t>Чув</w:t>
      </w:r>
      <w:proofErr w:type="spellEnd"/>
      <w:r w:rsidRPr="00BD25D7">
        <w:rPr>
          <w:rFonts w:ascii="Times New Roman Regular" w:eastAsia="Calibri" w:hAnsi="Times New Roman Regular" w:cs="Times New Roman Regular"/>
          <w:bCs/>
          <w:color w:val="000000"/>
          <w:sz w:val="28"/>
          <w:szCs w:val="28"/>
          <w:lang w:eastAsia="ru-RU"/>
        </w:rPr>
        <w:t xml:space="preserve"> – количество уволенных сотрудников предприятия за </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рассчитываемый период;</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roofErr w:type="spellStart"/>
      <w:r w:rsidRPr="00BD25D7">
        <w:rPr>
          <w:rFonts w:ascii="Times New Roman Regular" w:eastAsia="Calibri" w:hAnsi="Times New Roman Regular" w:cs="Times New Roman Regular"/>
          <w:bCs/>
          <w:color w:val="000000"/>
          <w:sz w:val="28"/>
          <w:szCs w:val="28"/>
          <w:lang w:eastAsia="ru-RU"/>
        </w:rPr>
        <w:t>Чср</w:t>
      </w:r>
      <w:proofErr w:type="spellEnd"/>
      <w:r w:rsidRPr="00BD25D7">
        <w:rPr>
          <w:rFonts w:ascii="Times New Roman Regular" w:eastAsia="Calibri" w:hAnsi="Times New Roman Regular" w:cs="Times New Roman Regular"/>
          <w:bCs/>
          <w:color w:val="000000"/>
          <w:sz w:val="28"/>
          <w:szCs w:val="28"/>
          <w:lang w:eastAsia="ru-RU"/>
        </w:rPr>
        <w:t xml:space="preserve"> – среднее число трудящихся работников. </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Выбытие или увольнение персонала происходит по различным причинам. Основными причинами являются: выход на пенсию или состоянию здоровья, призыв в армию и т.п. Эти причины могут считаться естественными, вследствие чего коэффициент отражает естественное сокращение трудовых ресурсов. Вместо них требуется принять на работу новых сотрудников. Необходимо сказать, что данный коэффициент не зависит от деятельности предприятия, и поэтому показывает объективное изменение состава персонала в конкретный временной период. В динамике значение данного коэффициента не должно быть больше значения коэффициента по приему.</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«Текучесть кадров – это процесс внепланового увольнения работников организации, который обусловлен как неудовлетворенностью работника своим рабочим местом (активная текучесть кадров), так и неудовлетворенностью организации конкретным работником (пассивная текучесть кадров), и, вследствие чего, включает увольнение работников по собственному желанию, а также увольнение работников по инициативе работодателя, если имеет место нарушение договорных обязательств между</w:t>
      </w:r>
      <w:r w:rsidR="006F2562">
        <w:rPr>
          <w:rFonts w:ascii="Times New Roman Regular" w:eastAsia="Calibri" w:hAnsi="Times New Roman Regular" w:cs="Times New Roman Regular"/>
          <w:bCs/>
          <w:color w:val="000000"/>
          <w:sz w:val="28"/>
          <w:szCs w:val="28"/>
          <w:lang w:eastAsia="ru-RU"/>
        </w:rPr>
        <w:t xml:space="preserve"> работником и работодателем» [8</w:t>
      </w:r>
      <w:r w:rsidRPr="00BD25D7">
        <w:rPr>
          <w:rFonts w:ascii="Times New Roman Regular" w:eastAsia="Calibri" w:hAnsi="Times New Roman Regular" w:cs="Times New Roman Regular"/>
          <w:bCs/>
          <w:color w:val="000000"/>
          <w:sz w:val="28"/>
          <w:szCs w:val="28"/>
          <w:lang w:eastAsia="ru-RU"/>
        </w:rPr>
        <w:t>].</w:t>
      </w:r>
    </w:p>
    <w:p w:rsid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Коэффициент текучести кадров (</w:t>
      </w:r>
      <w:r w:rsidRPr="00BD25D7">
        <w:rPr>
          <w:rFonts w:ascii="Times New Roman Regular" w:eastAsia="Calibri" w:hAnsi="Times New Roman Regular" w:cs="Times New Roman Regular"/>
          <w:bCs/>
          <w:color w:val="000000"/>
          <w:sz w:val="28"/>
          <w:szCs w:val="28"/>
          <w:lang w:val="en-US" w:eastAsia="ru-RU"/>
        </w:rPr>
        <w:t>K</w:t>
      </w:r>
      <w:r w:rsidRPr="00BD25D7">
        <w:rPr>
          <w:rFonts w:ascii="Times New Roman Regular" w:eastAsia="Calibri" w:hAnsi="Times New Roman Regular" w:cs="Times New Roman Regular"/>
          <w:bCs/>
          <w:color w:val="000000"/>
          <w:sz w:val="28"/>
          <w:szCs w:val="28"/>
          <w:lang w:eastAsia="ru-RU"/>
        </w:rPr>
        <w:t>т) рассчитывается как отношение суммы уволенных работников и уволившихся по собственному желанию к значению среднесписочной численности персонала и рассчитывается по формуле:</w:t>
      </w:r>
    </w:p>
    <w:p w:rsidR="00870D08" w:rsidRPr="00BD25D7" w:rsidRDefault="00870D08"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                                </w:t>
      </w:r>
      <m:oMath>
        <m:r>
          <m:rPr>
            <m:nor/>
          </m:rPr>
          <w:rPr>
            <w:rFonts w:ascii="DejaVu Math TeX Gyre" w:eastAsia="Calibri" w:hAnsi="DejaVu Math TeX Gyre" w:cs="Times New Roman Regular"/>
            <w:bCs/>
            <w:color w:val="000000"/>
            <w:sz w:val="28"/>
            <w:szCs w:val="28"/>
            <w:lang w:eastAsia="ru-RU"/>
          </w:rPr>
          <m:t>Ков=</m:t>
        </m:r>
        <m:f>
          <m:fPr>
            <m:ctrlPr>
              <w:rPr>
                <w:rFonts w:ascii="Cambria Math" w:eastAsia="Calibri" w:hAnsi="Cambria Math" w:cs="Times New Roman Regular"/>
                <w:bCs/>
                <w:color w:val="000000"/>
                <w:sz w:val="28"/>
                <w:szCs w:val="28"/>
                <w:lang w:val="en-US" w:eastAsia="ru-RU"/>
              </w:rPr>
            </m:ctrlPr>
          </m:fPr>
          <m:num>
            <w:proofErr w:type="spellStart"/>
            <m:r>
              <m:rPr>
                <m:nor/>
              </m:rPr>
              <w:rPr>
                <w:rFonts w:ascii="DejaVu Math TeX Gyre" w:eastAsia="Calibri" w:hAnsi="DejaVu Math TeX Gyre" w:cs="Times New Roman Regular"/>
                <w:bCs/>
                <w:color w:val="000000"/>
                <w:sz w:val="28"/>
                <w:szCs w:val="28"/>
                <w:lang w:eastAsia="ru-RU"/>
              </w:rPr>
              <m:t>Чув</m:t>
            </m:r>
            <w:proofErr w:type="spellEnd"/>
          </m:num>
          <m:den>
            <w:proofErr w:type="spellStart"/>
            <m:r>
              <m:rPr>
                <m:nor/>
              </m:rPr>
              <w:rPr>
                <w:rFonts w:ascii="DejaVu Math TeX Gyre" w:eastAsia="Calibri" w:hAnsi="DejaVu Math TeX Gyre" w:cs="Times New Roman Regular"/>
                <w:bCs/>
                <w:color w:val="000000"/>
                <w:sz w:val="28"/>
                <w:szCs w:val="28"/>
                <w:lang w:eastAsia="ru-RU"/>
              </w:rPr>
              <m:t>Чср</m:t>
            </m:r>
            <w:proofErr w:type="spellEnd"/>
          </m:den>
        </m:f>
      </m:oMath>
      <w:r w:rsidRPr="00BD25D7">
        <w:rPr>
          <w:rFonts w:ascii="Times New Roman Regular" w:eastAsia="Calibri" w:hAnsi="Times New Roman Regular" w:cs="Times New Roman Regular"/>
          <w:bCs/>
          <w:color w:val="000000"/>
          <w:sz w:val="28"/>
          <w:szCs w:val="28"/>
          <w:lang w:eastAsia="ru-RU"/>
        </w:rPr>
        <w:t xml:space="preserve"> * 100%                  </w:t>
      </w:r>
      <w:r w:rsidR="006F2562">
        <w:rPr>
          <w:rFonts w:ascii="Times New Roman Regular" w:eastAsia="Calibri" w:hAnsi="Times New Roman Regular" w:cs="Times New Roman Regular"/>
          <w:bCs/>
          <w:color w:val="000000"/>
          <w:sz w:val="28"/>
          <w:szCs w:val="28"/>
          <w:lang w:eastAsia="ru-RU"/>
        </w:rPr>
        <w:t xml:space="preserve">                          </w:t>
      </w:r>
      <w:proofErr w:type="gramStart"/>
      <w:r w:rsidR="006F2562">
        <w:rPr>
          <w:rFonts w:ascii="Times New Roman Regular" w:eastAsia="Calibri" w:hAnsi="Times New Roman Regular" w:cs="Times New Roman Regular"/>
          <w:bCs/>
          <w:color w:val="000000"/>
          <w:sz w:val="28"/>
          <w:szCs w:val="28"/>
          <w:lang w:eastAsia="ru-RU"/>
        </w:rPr>
        <w:t xml:space="preserve">   (</w:t>
      </w:r>
      <w:proofErr w:type="gramEnd"/>
      <w:r w:rsidRPr="00BD25D7">
        <w:rPr>
          <w:rFonts w:ascii="Times New Roman Regular" w:eastAsia="Calibri" w:hAnsi="Times New Roman Regular" w:cs="Times New Roman Regular"/>
          <w:bCs/>
          <w:color w:val="000000"/>
          <w:sz w:val="28"/>
          <w:szCs w:val="28"/>
          <w:lang w:eastAsia="ru-RU"/>
        </w:rPr>
        <w:t>5)</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где </w:t>
      </w:r>
      <w:proofErr w:type="spellStart"/>
      <w:r w:rsidRPr="00BD25D7">
        <w:rPr>
          <w:rFonts w:ascii="Times New Roman Regular" w:eastAsia="Calibri" w:hAnsi="Times New Roman Regular" w:cs="Times New Roman Regular"/>
          <w:bCs/>
          <w:color w:val="000000"/>
          <w:sz w:val="28"/>
          <w:szCs w:val="28"/>
          <w:lang w:eastAsia="ru-RU"/>
        </w:rPr>
        <w:t>Чув</w:t>
      </w:r>
      <w:proofErr w:type="spellEnd"/>
      <w:r w:rsidRPr="00BD25D7">
        <w:rPr>
          <w:rFonts w:ascii="Times New Roman Regular" w:eastAsia="Calibri" w:hAnsi="Times New Roman Regular" w:cs="Times New Roman Regular"/>
          <w:bCs/>
          <w:color w:val="000000"/>
          <w:sz w:val="28"/>
          <w:szCs w:val="28"/>
          <w:lang w:eastAsia="ru-RU"/>
        </w:rPr>
        <w:t xml:space="preserve"> – количество уволенных сотрудников предприятия за </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рассчитываемый период;</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roofErr w:type="spellStart"/>
      <w:r w:rsidRPr="00BD25D7">
        <w:rPr>
          <w:rFonts w:ascii="Times New Roman Regular" w:eastAsia="Calibri" w:hAnsi="Times New Roman Regular" w:cs="Times New Roman Regular"/>
          <w:bCs/>
          <w:color w:val="000000"/>
          <w:sz w:val="28"/>
          <w:szCs w:val="28"/>
          <w:lang w:eastAsia="ru-RU"/>
        </w:rPr>
        <w:t>Чср</w:t>
      </w:r>
      <w:proofErr w:type="spellEnd"/>
      <w:r w:rsidRPr="00BD25D7">
        <w:rPr>
          <w:rFonts w:ascii="Times New Roman Regular" w:eastAsia="Calibri" w:hAnsi="Times New Roman Regular" w:cs="Times New Roman Regular"/>
          <w:bCs/>
          <w:color w:val="000000"/>
          <w:sz w:val="28"/>
          <w:szCs w:val="28"/>
          <w:lang w:eastAsia="ru-RU"/>
        </w:rPr>
        <w:t xml:space="preserve"> – среднее число трудящихся работников. </w:t>
      </w:r>
    </w:p>
    <w:p w:rsidR="00BD25D7" w:rsidRPr="00BD25D7" w:rsidRDefault="00BD25D7" w:rsidP="00365609">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lastRenderedPageBreak/>
        <w:t>Этот коэффициент дает представление о негативных процессах движения кадров, каждое предприятие должно стремиться к его минимизации на основе повышения эффективности индивидуальной работы с персоналом. Рост коэффициента текучести кадров отражает негативное влияние некоторых факторов на хозяйственную деятельность предприятия. «Следует отметить, что текучесть можно считать нормальной, если она составляет 5–15% в год. Такой уровень показывает либо отбор персонала, либо свидетельствует о преобладании практики испытательного срока, вместо современных т</w:t>
      </w:r>
      <w:r w:rsidR="006F2562">
        <w:rPr>
          <w:rFonts w:ascii="Times New Roman Regular" w:eastAsia="Calibri" w:hAnsi="Times New Roman Regular" w:cs="Times New Roman Regular"/>
          <w:bCs/>
          <w:color w:val="000000"/>
          <w:sz w:val="28"/>
          <w:szCs w:val="28"/>
          <w:lang w:eastAsia="ru-RU"/>
        </w:rPr>
        <w:t>ехнологий подбора персонала» [9</w:t>
      </w:r>
      <w:r w:rsidRPr="00BD25D7">
        <w:rPr>
          <w:rFonts w:ascii="Times New Roman Regular" w:eastAsia="Calibri" w:hAnsi="Times New Roman Regular" w:cs="Times New Roman Regular"/>
          <w:bCs/>
          <w:color w:val="000000"/>
          <w:sz w:val="28"/>
          <w:szCs w:val="28"/>
          <w:lang w:eastAsia="ru-RU"/>
        </w:rPr>
        <w:t>].</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завершающий этап методики – выявление проблемных зон и разработка рекомендаций. Данный подход включает в себя: оценку с помощью экспертной оценки, а также </w:t>
      </w:r>
      <w:r w:rsidRPr="00BD25D7">
        <w:rPr>
          <w:rFonts w:ascii="Times New Roman Regular" w:eastAsia="Calibri" w:hAnsi="Times New Roman Regular" w:cs="Times New Roman Regular"/>
          <w:bCs/>
          <w:color w:val="000000"/>
          <w:sz w:val="28"/>
          <w:szCs w:val="28"/>
          <w:lang w:val="en-US" w:eastAsia="ru-RU"/>
        </w:rPr>
        <w:t>SWOT</w:t>
      </w:r>
      <w:r w:rsidRPr="00BD25D7">
        <w:rPr>
          <w:rFonts w:ascii="Times New Roman Regular" w:eastAsia="Calibri" w:hAnsi="Times New Roman Regular" w:cs="Times New Roman Regular"/>
          <w:bCs/>
          <w:color w:val="000000"/>
          <w:sz w:val="28"/>
          <w:szCs w:val="28"/>
          <w:lang w:eastAsia="ru-RU"/>
        </w:rPr>
        <w:t>-анализ.</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Таким образом, методика оценки системы управления трудовыми ресурсами торгового предприятия включает в себя 5 основных компонентов, каждый из которых играет важную роль в системе управления персоналом. В современных условиях функционирования предприятия ключевым элементом его деятельности является правильная выстроенная кадровая система. В функционировании предприятий розничной торговли высока значимость кадрового потенциала, так как, несмотря на внедрение современных технологий, эффективность торговли в значительной степени зависит от профессиональной деятельности работников, как организующих закупку товаров и их доставку, так и работников, непосредственно реализующих товары и торговые услуги покупателям. Грамотная методика анализа трудовых ресурсов позволит ими более грамотно управлять. Оценка работника представляет собой процедуру, проводимую с целью выявления степени соответствия личных качеств работника, количественных и качественных результатов его деятельности определенным требованиям, предъявляемым должностными обязанностями, характером и содержанием труда, а также требованиям, обусловленным эффективной организацией </w:t>
      </w:r>
      <w:r w:rsidRPr="00BD25D7">
        <w:rPr>
          <w:rFonts w:ascii="Times New Roman Regular" w:eastAsia="Calibri" w:hAnsi="Times New Roman Regular" w:cs="Times New Roman Regular"/>
          <w:bCs/>
          <w:color w:val="000000"/>
          <w:sz w:val="28"/>
          <w:szCs w:val="28"/>
          <w:lang w:eastAsia="ru-RU"/>
        </w:rPr>
        <w:lastRenderedPageBreak/>
        <w:t>производства, использованием наиболее рациональных методов работы, технических средств и т. д.</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Главная задача любой компании – построить эффективную работу внутри предприятия на уровне отрасли, отдела или конкретного сотрудника. Для анализа продуктивности работы применяют показатели производительности труда. С их помощью определяют, насколько качество сотрудники выполняют свои обязанности. Рассмотренные мероприятия имеют ряд эффектов:</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1) мероприятие по оптимизации организационной структуры управления персоналом, которое направлено на того, чтобы расширить штат сотрудников. Увеличение штатных единиц позволит делегировать обязанности и выполнять их более качественно;</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2) мероприятие будет направлено на оптимизацию системы запасов предприятия, оно предполагает использование автоматизированной системы для управления заказов у поставщиков, позволяет отслеживать остатки и заказывать товары только в необходимом количестве, тем самым, не увеличивая общий объем запасов. Сервис анализирует и прогнозирует спрос, определяет прибыльность и оборачиваемость товара, анализирует остатки и формирует заказ, присылает рекомендацию по управлению ассортиментом. </w:t>
      </w:r>
    </w:p>
    <w:p w:rsidR="00BD25D7" w:rsidRP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xml:space="preserve">исследование инновационных методов и подходов к управлению трудовыми ресурсами показал, что инновации являются необходимым условием успеха любого бизнеса. Современная деловая среда постоянно меняется, и организации должны адаптироваться к новым тенденциям и технологиям, чтобы оставаться конкурентоспособными.  условиях. Благодаря цифровым инновациям организации могут осуществлять оценку выполнения работы своего персонала, в зависимости от прямой необходимости. На сегодняшний день в организациях появляются различные электронные помощники, которые помогают адаптироваться новым сотрудникам в компании, персональные помощники, которые предоставляют различную информацию от графика отпусков до расчёта различных выплат. </w:t>
      </w:r>
      <w:r w:rsidRPr="00BD25D7">
        <w:rPr>
          <w:rFonts w:ascii="Times New Roman Regular" w:eastAsia="Calibri" w:hAnsi="Times New Roman Regular" w:cs="Times New Roman Regular"/>
          <w:bCs/>
          <w:color w:val="000000"/>
          <w:sz w:val="28"/>
          <w:szCs w:val="28"/>
          <w:lang w:eastAsia="ru-RU"/>
        </w:rPr>
        <w:lastRenderedPageBreak/>
        <w:t>Инновационные технологии являются фактором, способствующим удовлетворению меняющихся потребностей и социальных интересов современных работников;</w:t>
      </w:r>
    </w:p>
    <w:p w:rsidR="00BD25D7" w:rsidRDefault="00BD25D7"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t>– методика оценки системы управления трудовыми ресурсами торгового предприятия включает в себя 5 основных компонентов, каждый из которых играет важную роль в системе управления персоналом. В современных условиях функционирования предприятия ключевым элементом его деятельности является правильная выстроенная кадровая система. В функционировании предприятий розничной торговли высока значимость кадрового потенциала, так как, несмотря на внедрение современных технологий, эффективн</w:t>
      </w:r>
      <w:bookmarkStart w:id="0" w:name="_GoBack"/>
      <w:bookmarkEnd w:id="0"/>
      <w:r w:rsidRPr="00BD25D7">
        <w:rPr>
          <w:rFonts w:ascii="Times New Roman Regular" w:eastAsia="Calibri" w:hAnsi="Times New Roman Regular" w:cs="Times New Roman Regular"/>
          <w:bCs/>
          <w:color w:val="000000"/>
          <w:sz w:val="28"/>
          <w:szCs w:val="28"/>
          <w:lang w:eastAsia="ru-RU"/>
        </w:rPr>
        <w:t>ость торговли в значительной степени зависит от профессиональной деятельности работников, как организующих закупку товаров и их доставку, так и работников, непосредственно реализующих товары и торговые услуги покупателям. Грамотная методика анализа трудовых ресурсов позволит ими более грамотно управлять. Оценка работника представляет собой процедуру, проводимую с целью выявления степени соответствия личных качеств работника, количественных и качественных результатов его деятельности определенным требованиям, предъявляемым должностными обязанностями, характером и содержанием труда, а также требованиям, обусловленным эффективной организацией производства, использованием наиболее рациональных методов работы, технических средств и т. д.</w:t>
      </w:r>
    </w:p>
    <w:p w:rsidR="00870D08" w:rsidRPr="00BD25D7" w:rsidRDefault="00870D08" w:rsidP="00870D08">
      <w:pPr>
        <w:spacing w:after="0" w:line="360" w:lineRule="auto"/>
        <w:ind w:right="-1" w:firstLine="709"/>
        <w:contextualSpacing/>
        <w:jc w:val="both"/>
        <w:rPr>
          <w:rFonts w:ascii="Times New Roman Regular" w:eastAsia="Calibri" w:hAnsi="Times New Roman Regular" w:cs="Times New Roman Regular"/>
          <w:bCs/>
          <w:color w:val="000000"/>
          <w:sz w:val="28"/>
          <w:szCs w:val="28"/>
          <w:lang w:eastAsia="ru-RU"/>
        </w:rPr>
      </w:pPr>
    </w:p>
    <w:p w:rsidR="00BD25D7" w:rsidRPr="00BD25D7" w:rsidRDefault="00BD25D7" w:rsidP="00870D08">
      <w:pPr>
        <w:spacing w:after="0" w:line="360" w:lineRule="auto"/>
        <w:ind w:right="-1"/>
        <w:contextualSpacing/>
        <w:rPr>
          <w:rFonts w:ascii="Times New Roman Bold" w:eastAsia="Calibri" w:hAnsi="Times New Roman Bold" w:cs="Times New Roman Bold"/>
          <w:b/>
          <w:color w:val="000000"/>
          <w:sz w:val="28"/>
          <w:szCs w:val="28"/>
          <w:lang w:val="en-US" w:eastAsia="ru-RU"/>
        </w:rPr>
      </w:pPr>
      <w:proofErr w:type="spellStart"/>
      <w:r w:rsidRPr="00BD25D7">
        <w:rPr>
          <w:rFonts w:ascii="Times New Roman Bold" w:eastAsia="Calibri" w:hAnsi="Times New Roman Bold" w:cs="Times New Roman Bold"/>
          <w:b/>
          <w:color w:val="000000"/>
          <w:sz w:val="28"/>
          <w:szCs w:val="28"/>
          <w:lang w:val="en-US" w:eastAsia="ru-RU"/>
        </w:rPr>
        <w:t>С</w:t>
      </w:r>
      <w:r w:rsidR="00DC58B5">
        <w:rPr>
          <w:rFonts w:ascii="Times New Roman Bold" w:eastAsia="Calibri" w:hAnsi="Times New Roman Bold" w:cs="Times New Roman Bold"/>
          <w:b/>
          <w:color w:val="000000"/>
          <w:sz w:val="28"/>
          <w:szCs w:val="28"/>
          <w:lang w:val="en-US" w:eastAsia="ru-RU"/>
        </w:rPr>
        <w:t>писок</w:t>
      </w:r>
      <w:proofErr w:type="spellEnd"/>
      <w:r w:rsidR="00DC58B5">
        <w:rPr>
          <w:rFonts w:ascii="Times New Roman Bold" w:eastAsia="Calibri" w:hAnsi="Times New Roman Bold" w:cs="Times New Roman Bold"/>
          <w:b/>
          <w:color w:val="000000"/>
          <w:sz w:val="28"/>
          <w:szCs w:val="28"/>
          <w:lang w:val="en-US" w:eastAsia="ru-RU"/>
        </w:rPr>
        <w:t xml:space="preserve"> </w:t>
      </w:r>
      <w:proofErr w:type="spellStart"/>
      <w:r w:rsidR="00DC58B5">
        <w:rPr>
          <w:rFonts w:ascii="Times New Roman Bold" w:eastAsia="Calibri" w:hAnsi="Times New Roman Bold" w:cs="Times New Roman Bold"/>
          <w:b/>
          <w:color w:val="000000"/>
          <w:sz w:val="28"/>
          <w:szCs w:val="28"/>
          <w:lang w:val="en-US" w:eastAsia="ru-RU"/>
        </w:rPr>
        <w:t>литературы</w:t>
      </w:r>
      <w:proofErr w:type="spellEnd"/>
      <w:r w:rsidR="00F1562B">
        <w:rPr>
          <w:rFonts w:ascii="Times New Roman Bold" w:eastAsia="Calibri" w:hAnsi="Times New Roman Bold" w:cs="Times New Roman Bold"/>
          <w:b/>
          <w:color w:val="000000"/>
          <w:sz w:val="28"/>
          <w:szCs w:val="28"/>
          <w:lang w:val="en-US" w:eastAsia="ru-RU"/>
        </w:rPr>
        <w:t xml:space="preserve"> </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r w:rsidRPr="00BD25D7">
        <w:rPr>
          <w:rFonts w:ascii="Times New Roman" w:eastAsia="Calibri" w:hAnsi="Times New Roman" w:cs="Times New Roman"/>
          <w:bCs/>
          <w:color w:val="000000"/>
          <w:sz w:val="28"/>
          <w:szCs w:val="28"/>
          <w:lang w:eastAsia="ru-RU"/>
        </w:rPr>
        <w:t>Вавилова, А. К. Инновационные методы управления персоналом в условиях динамично меняющейся среды / А. К. Вавилова // Научный Лидер. – 2023. – № 4(102). – С. 60-64.</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r w:rsidRPr="00BD25D7">
        <w:rPr>
          <w:rFonts w:ascii="Times New Roman" w:eastAsia="Calibri" w:hAnsi="Times New Roman" w:cs="Times New Roman"/>
          <w:bCs/>
          <w:color w:val="000000"/>
          <w:sz w:val="28"/>
          <w:szCs w:val="28"/>
          <w:lang w:eastAsia="ru-RU"/>
        </w:rPr>
        <w:t xml:space="preserve">Егорова, М. С. Трудовые ресурсы предприятия: оценка потребности и эффективности использования / М. С. Егорова, И. Г. </w:t>
      </w:r>
      <w:proofErr w:type="spellStart"/>
      <w:r w:rsidRPr="00BD25D7">
        <w:rPr>
          <w:rFonts w:ascii="Times New Roman" w:eastAsia="Calibri" w:hAnsi="Times New Roman" w:cs="Times New Roman"/>
          <w:bCs/>
          <w:color w:val="000000"/>
          <w:sz w:val="28"/>
          <w:szCs w:val="28"/>
          <w:lang w:eastAsia="ru-RU"/>
        </w:rPr>
        <w:t>Пищальников</w:t>
      </w:r>
      <w:proofErr w:type="spellEnd"/>
      <w:r w:rsidRPr="00BD25D7">
        <w:rPr>
          <w:rFonts w:ascii="Times New Roman" w:eastAsia="Calibri" w:hAnsi="Times New Roman" w:cs="Times New Roman"/>
          <w:bCs/>
          <w:color w:val="000000"/>
          <w:sz w:val="28"/>
          <w:szCs w:val="28"/>
          <w:lang w:eastAsia="ru-RU"/>
        </w:rPr>
        <w:t xml:space="preserve"> // Молодой ученый. – 2022. – № 9 (89). – С. 586-589. </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proofErr w:type="spellStart"/>
      <w:r w:rsidRPr="00BD25D7">
        <w:rPr>
          <w:rFonts w:ascii="Times New Roman" w:eastAsia="Calibri" w:hAnsi="Times New Roman" w:cs="Times New Roman"/>
          <w:bCs/>
          <w:color w:val="000000"/>
          <w:sz w:val="28"/>
          <w:szCs w:val="28"/>
          <w:lang w:eastAsia="ru-RU"/>
        </w:rPr>
        <w:lastRenderedPageBreak/>
        <w:t>Чимшит</w:t>
      </w:r>
      <w:proofErr w:type="spellEnd"/>
      <w:r w:rsidRPr="00BD25D7">
        <w:rPr>
          <w:rFonts w:ascii="Times New Roman" w:eastAsia="Calibri" w:hAnsi="Times New Roman" w:cs="Times New Roman"/>
          <w:bCs/>
          <w:color w:val="000000"/>
          <w:sz w:val="28"/>
          <w:szCs w:val="28"/>
          <w:lang w:eastAsia="ru-RU"/>
        </w:rPr>
        <w:t xml:space="preserve">, Н. А. Особенности управления трудовыми ресурсами в Российской Федерации / Н. А. </w:t>
      </w:r>
      <w:proofErr w:type="spellStart"/>
      <w:r w:rsidRPr="00BD25D7">
        <w:rPr>
          <w:rFonts w:ascii="Times New Roman" w:eastAsia="Calibri" w:hAnsi="Times New Roman" w:cs="Times New Roman"/>
          <w:bCs/>
          <w:color w:val="000000"/>
          <w:sz w:val="28"/>
          <w:szCs w:val="28"/>
          <w:lang w:eastAsia="ru-RU"/>
        </w:rPr>
        <w:t>Чимшит</w:t>
      </w:r>
      <w:proofErr w:type="spellEnd"/>
      <w:r w:rsidRPr="00BD25D7">
        <w:rPr>
          <w:rFonts w:ascii="Times New Roman" w:eastAsia="Calibri" w:hAnsi="Times New Roman" w:cs="Times New Roman"/>
          <w:bCs/>
          <w:color w:val="000000"/>
          <w:sz w:val="28"/>
          <w:szCs w:val="28"/>
          <w:lang w:eastAsia="ru-RU"/>
        </w:rPr>
        <w:t xml:space="preserve"> // Моя профессиональная карьера. – 2021. – Т. 1, № 31. – С. 69-74. </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r w:rsidRPr="00BD25D7">
        <w:rPr>
          <w:rFonts w:ascii="Times New Roman" w:eastAsia="Calibri" w:hAnsi="Times New Roman" w:cs="Times New Roman"/>
          <w:bCs/>
          <w:color w:val="000000"/>
          <w:sz w:val="28"/>
          <w:szCs w:val="28"/>
          <w:lang w:eastAsia="ru-RU"/>
        </w:rPr>
        <w:t xml:space="preserve">Управление человеческими ресурсами: учебник и практикум для вузов / под общей редакцией О. А. Лапшовой. – Москва: Издательство </w:t>
      </w:r>
      <w:proofErr w:type="spellStart"/>
      <w:r w:rsidRPr="00BD25D7">
        <w:rPr>
          <w:rFonts w:ascii="Times New Roman" w:eastAsia="Calibri" w:hAnsi="Times New Roman" w:cs="Times New Roman"/>
          <w:bCs/>
          <w:color w:val="000000"/>
          <w:sz w:val="28"/>
          <w:szCs w:val="28"/>
          <w:lang w:eastAsia="ru-RU"/>
        </w:rPr>
        <w:t>Юрайт</w:t>
      </w:r>
      <w:proofErr w:type="spellEnd"/>
      <w:r w:rsidRPr="00BD25D7">
        <w:rPr>
          <w:rFonts w:ascii="Times New Roman" w:eastAsia="Calibri" w:hAnsi="Times New Roman" w:cs="Times New Roman"/>
          <w:bCs/>
          <w:color w:val="000000"/>
          <w:sz w:val="28"/>
          <w:szCs w:val="28"/>
          <w:lang w:eastAsia="ru-RU"/>
        </w:rPr>
        <w:t>, 2025. – 406 с.</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r w:rsidRPr="00BD25D7">
        <w:rPr>
          <w:rFonts w:ascii="Times New Roman" w:eastAsia="Calibri" w:hAnsi="Times New Roman" w:cs="Times New Roman"/>
          <w:bCs/>
          <w:color w:val="000000"/>
          <w:sz w:val="28"/>
          <w:szCs w:val="28"/>
          <w:lang w:eastAsia="ru-RU"/>
        </w:rPr>
        <w:t xml:space="preserve">Исаева, О. М. Управление человеческими ресурсами: учебник и практикум для вузов / О. М. Исаева, Е. А. </w:t>
      </w:r>
      <w:proofErr w:type="spellStart"/>
      <w:r w:rsidRPr="00BD25D7">
        <w:rPr>
          <w:rFonts w:ascii="Times New Roman" w:eastAsia="Calibri" w:hAnsi="Times New Roman" w:cs="Times New Roman"/>
          <w:bCs/>
          <w:color w:val="000000"/>
          <w:sz w:val="28"/>
          <w:szCs w:val="28"/>
          <w:lang w:eastAsia="ru-RU"/>
        </w:rPr>
        <w:t>Припорова</w:t>
      </w:r>
      <w:proofErr w:type="spellEnd"/>
      <w:r w:rsidRPr="00BD25D7">
        <w:rPr>
          <w:rFonts w:ascii="Times New Roman" w:eastAsia="Calibri" w:hAnsi="Times New Roman" w:cs="Times New Roman"/>
          <w:bCs/>
          <w:color w:val="000000"/>
          <w:sz w:val="28"/>
          <w:szCs w:val="28"/>
          <w:lang w:eastAsia="ru-RU"/>
        </w:rPr>
        <w:t xml:space="preserve">. – 2-е изд. – Москва: Издательство </w:t>
      </w:r>
      <w:proofErr w:type="spellStart"/>
      <w:r w:rsidRPr="00BD25D7">
        <w:rPr>
          <w:rFonts w:ascii="Times New Roman" w:eastAsia="Calibri" w:hAnsi="Times New Roman" w:cs="Times New Roman"/>
          <w:bCs/>
          <w:color w:val="000000"/>
          <w:sz w:val="28"/>
          <w:szCs w:val="28"/>
          <w:lang w:eastAsia="ru-RU"/>
        </w:rPr>
        <w:t>Юрайт</w:t>
      </w:r>
      <w:proofErr w:type="spellEnd"/>
      <w:r w:rsidRPr="00BD25D7">
        <w:rPr>
          <w:rFonts w:ascii="Times New Roman" w:eastAsia="Calibri" w:hAnsi="Times New Roman" w:cs="Times New Roman"/>
          <w:bCs/>
          <w:color w:val="000000"/>
          <w:sz w:val="28"/>
          <w:szCs w:val="28"/>
          <w:lang w:eastAsia="ru-RU"/>
        </w:rPr>
        <w:t xml:space="preserve">, 2025. – 172 с. </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val="en-US" w:eastAsia="ru-RU"/>
        </w:rPr>
      </w:pPr>
      <w:r w:rsidRPr="00BD25D7">
        <w:rPr>
          <w:rFonts w:ascii="Times New Roman" w:eastAsia="Calibri" w:hAnsi="Times New Roman" w:cs="Times New Roman"/>
          <w:bCs/>
          <w:color w:val="000000"/>
          <w:sz w:val="28"/>
          <w:szCs w:val="28"/>
          <w:lang w:eastAsia="ru-RU"/>
        </w:rPr>
        <w:t xml:space="preserve">Зайцева, Н. В. Трудовые ресурсы: история становления и развития / Н. В. Зайцева, И. Н. </w:t>
      </w:r>
      <w:proofErr w:type="spellStart"/>
      <w:r w:rsidRPr="00BD25D7">
        <w:rPr>
          <w:rFonts w:ascii="Times New Roman" w:eastAsia="Calibri" w:hAnsi="Times New Roman" w:cs="Times New Roman"/>
          <w:bCs/>
          <w:color w:val="000000"/>
          <w:sz w:val="28"/>
          <w:szCs w:val="28"/>
          <w:lang w:eastAsia="ru-RU"/>
        </w:rPr>
        <w:t>Кандричина</w:t>
      </w:r>
      <w:proofErr w:type="spellEnd"/>
      <w:r w:rsidRPr="00BD25D7">
        <w:rPr>
          <w:rFonts w:ascii="Times New Roman" w:eastAsia="Calibri" w:hAnsi="Times New Roman" w:cs="Times New Roman"/>
          <w:bCs/>
          <w:color w:val="000000"/>
          <w:sz w:val="28"/>
          <w:szCs w:val="28"/>
          <w:lang w:eastAsia="ru-RU"/>
        </w:rPr>
        <w:t xml:space="preserve"> // Труды БГТУ. </w:t>
      </w:r>
      <w:proofErr w:type="spellStart"/>
      <w:r w:rsidRPr="00BD25D7">
        <w:rPr>
          <w:rFonts w:ascii="Times New Roman" w:eastAsia="Calibri" w:hAnsi="Times New Roman" w:cs="Times New Roman"/>
          <w:bCs/>
          <w:color w:val="000000"/>
          <w:sz w:val="28"/>
          <w:szCs w:val="28"/>
          <w:lang w:val="en-US" w:eastAsia="ru-RU"/>
        </w:rPr>
        <w:t>Серия</w:t>
      </w:r>
      <w:proofErr w:type="spellEnd"/>
      <w:r w:rsidRPr="00BD25D7">
        <w:rPr>
          <w:rFonts w:ascii="Times New Roman" w:eastAsia="Calibri" w:hAnsi="Times New Roman" w:cs="Times New Roman"/>
          <w:bCs/>
          <w:color w:val="000000"/>
          <w:sz w:val="28"/>
          <w:szCs w:val="28"/>
          <w:lang w:val="en-US" w:eastAsia="ru-RU"/>
        </w:rPr>
        <w:t xml:space="preserve"> 6: </w:t>
      </w:r>
      <w:proofErr w:type="spellStart"/>
      <w:r w:rsidRPr="00BD25D7">
        <w:rPr>
          <w:rFonts w:ascii="Times New Roman" w:eastAsia="Calibri" w:hAnsi="Times New Roman" w:cs="Times New Roman"/>
          <w:bCs/>
          <w:color w:val="000000"/>
          <w:sz w:val="28"/>
          <w:szCs w:val="28"/>
          <w:lang w:val="en-US" w:eastAsia="ru-RU"/>
        </w:rPr>
        <w:t>История</w:t>
      </w:r>
      <w:proofErr w:type="spellEnd"/>
      <w:r w:rsidRPr="00BD25D7">
        <w:rPr>
          <w:rFonts w:ascii="Times New Roman" w:eastAsia="Calibri" w:hAnsi="Times New Roman" w:cs="Times New Roman"/>
          <w:bCs/>
          <w:color w:val="000000"/>
          <w:sz w:val="28"/>
          <w:szCs w:val="28"/>
          <w:lang w:val="en-US" w:eastAsia="ru-RU"/>
        </w:rPr>
        <w:t xml:space="preserve">, </w:t>
      </w:r>
      <w:proofErr w:type="spellStart"/>
      <w:r w:rsidRPr="00BD25D7">
        <w:rPr>
          <w:rFonts w:ascii="Times New Roman" w:eastAsia="Calibri" w:hAnsi="Times New Roman" w:cs="Times New Roman"/>
          <w:bCs/>
          <w:color w:val="000000"/>
          <w:sz w:val="28"/>
          <w:szCs w:val="28"/>
          <w:lang w:val="en-US" w:eastAsia="ru-RU"/>
        </w:rPr>
        <w:t>философия</w:t>
      </w:r>
      <w:proofErr w:type="spellEnd"/>
      <w:r w:rsidRPr="00BD25D7">
        <w:rPr>
          <w:rFonts w:ascii="Times New Roman" w:eastAsia="Calibri" w:hAnsi="Times New Roman" w:cs="Times New Roman"/>
          <w:bCs/>
          <w:color w:val="000000"/>
          <w:sz w:val="28"/>
          <w:szCs w:val="28"/>
          <w:lang w:val="en-US" w:eastAsia="ru-RU"/>
        </w:rPr>
        <w:t xml:space="preserve">. – 2023. – № 1(269). – С. 132-135. </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r w:rsidRPr="00BD25D7">
        <w:rPr>
          <w:rFonts w:ascii="Times New Roman" w:eastAsia="Calibri" w:hAnsi="Times New Roman" w:cs="Times New Roman"/>
          <w:bCs/>
          <w:color w:val="000000"/>
          <w:sz w:val="28"/>
          <w:szCs w:val="28"/>
          <w:lang w:eastAsia="ru-RU"/>
        </w:rPr>
        <w:t xml:space="preserve">Лунев, Р. С. Социально-правовые особенности развития трудовой индустрии / Р. С. Лунев // Государство. Политика. Социум: Материалы ХХ Всероссийского симпозиума по устойчивому развитию территорий, Екатеринбург, 27–29 ноября 2024 года. – Екатеринбург: Российская академия народного хозяйства и государственной службы при Президенте РФ, 2024. – С. 394-402. </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r w:rsidRPr="00BD25D7">
        <w:rPr>
          <w:rFonts w:ascii="Times New Roman" w:eastAsia="Calibri" w:hAnsi="Times New Roman" w:cs="Times New Roman"/>
          <w:bCs/>
          <w:color w:val="000000"/>
          <w:sz w:val="28"/>
          <w:szCs w:val="28"/>
          <w:lang w:eastAsia="ru-RU"/>
        </w:rPr>
        <w:t xml:space="preserve">Кондрашова, Н. Г. Применение программных продуктов в сфере управления бизнес-проектами / Н. Г. Кондрашова, Я. Ю. </w:t>
      </w:r>
      <w:proofErr w:type="spellStart"/>
      <w:r w:rsidRPr="00BD25D7">
        <w:rPr>
          <w:rFonts w:ascii="Times New Roman" w:eastAsia="Calibri" w:hAnsi="Times New Roman" w:cs="Times New Roman"/>
          <w:bCs/>
          <w:color w:val="000000"/>
          <w:sz w:val="28"/>
          <w:szCs w:val="28"/>
          <w:lang w:eastAsia="ru-RU"/>
        </w:rPr>
        <w:t>Русу</w:t>
      </w:r>
      <w:proofErr w:type="spellEnd"/>
      <w:r w:rsidRPr="00BD25D7">
        <w:rPr>
          <w:rFonts w:ascii="Times New Roman" w:eastAsia="Calibri" w:hAnsi="Times New Roman" w:cs="Times New Roman"/>
          <w:bCs/>
          <w:color w:val="000000"/>
          <w:sz w:val="28"/>
          <w:szCs w:val="28"/>
          <w:lang w:eastAsia="ru-RU"/>
        </w:rPr>
        <w:t xml:space="preserve"> // </w:t>
      </w:r>
      <w:r w:rsidRPr="00BD25D7">
        <w:rPr>
          <w:rFonts w:ascii="Times New Roman" w:eastAsia="Calibri" w:hAnsi="Times New Roman" w:cs="Times New Roman"/>
          <w:bCs/>
          <w:color w:val="000000"/>
          <w:sz w:val="28"/>
          <w:szCs w:val="28"/>
          <w:lang w:val="en-US" w:eastAsia="ru-RU"/>
        </w:rPr>
        <w:t>Modern</w:t>
      </w:r>
      <w:r w:rsidRPr="00BD25D7">
        <w:rPr>
          <w:rFonts w:ascii="Times New Roman" w:eastAsia="Calibri" w:hAnsi="Times New Roman" w:cs="Times New Roman"/>
          <w:bCs/>
          <w:color w:val="000000"/>
          <w:sz w:val="28"/>
          <w:szCs w:val="28"/>
          <w:lang w:eastAsia="ru-RU"/>
        </w:rPr>
        <w:t xml:space="preserve"> </w:t>
      </w:r>
      <w:r w:rsidRPr="00BD25D7">
        <w:rPr>
          <w:rFonts w:ascii="Times New Roman" w:eastAsia="Calibri" w:hAnsi="Times New Roman" w:cs="Times New Roman"/>
          <w:bCs/>
          <w:color w:val="000000"/>
          <w:sz w:val="28"/>
          <w:szCs w:val="28"/>
          <w:lang w:val="en-US" w:eastAsia="ru-RU"/>
        </w:rPr>
        <w:t>Economy</w:t>
      </w:r>
      <w:r w:rsidRPr="00BD25D7">
        <w:rPr>
          <w:rFonts w:ascii="Times New Roman" w:eastAsia="Calibri" w:hAnsi="Times New Roman" w:cs="Times New Roman"/>
          <w:bCs/>
          <w:color w:val="000000"/>
          <w:sz w:val="28"/>
          <w:szCs w:val="28"/>
          <w:lang w:eastAsia="ru-RU"/>
        </w:rPr>
        <w:t xml:space="preserve"> </w:t>
      </w:r>
      <w:r w:rsidRPr="00BD25D7">
        <w:rPr>
          <w:rFonts w:ascii="Times New Roman" w:eastAsia="Calibri" w:hAnsi="Times New Roman" w:cs="Times New Roman"/>
          <w:bCs/>
          <w:color w:val="000000"/>
          <w:sz w:val="28"/>
          <w:szCs w:val="28"/>
          <w:lang w:val="en-US" w:eastAsia="ru-RU"/>
        </w:rPr>
        <w:t>Success</w:t>
      </w:r>
      <w:r w:rsidRPr="00BD25D7">
        <w:rPr>
          <w:rFonts w:ascii="Times New Roman" w:eastAsia="Calibri" w:hAnsi="Times New Roman" w:cs="Times New Roman"/>
          <w:bCs/>
          <w:color w:val="000000"/>
          <w:sz w:val="28"/>
          <w:szCs w:val="28"/>
          <w:lang w:eastAsia="ru-RU"/>
        </w:rPr>
        <w:t xml:space="preserve">. – 2021. – № 5. – С. 94-99. </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r w:rsidRPr="00BD25D7">
        <w:rPr>
          <w:rFonts w:ascii="Times New Roman" w:eastAsia="Calibri" w:hAnsi="Times New Roman" w:cs="Times New Roman"/>
          <w:bCs/>
          <w:color w:val="000000"/>
          <w:sz w:val="28"/>
          <w:szCs w:val="28"/>
          <w:lang w:eastAsia="ru-RU"/>
        </w:rPr>
        <w:t xml:space="preserve">Ткаченко, А. Л. Применение систем управления проектами при построении модели проекта / А. Л. Ткаченко, Р. А. </w:t>
      </w:r>
      <w:proofErr w:type="spellStart"/>
      <w:r w:rsidRPr="00BD25D7">
        <w:rPr>
          <w:rFonts w:ascii="Times New Roman" w:eastAsia="Calibri" w:hAnsi="Times New Roman" w:cs="Times New Roman"/>
          <w:bCs/>
          <w:color w:val="000000"/>
          <w:sz w:val="28"/>
          <w:szCs w:val="28"/>
          <w:lang w:eastAsia="ru-RU"/>
        </w:rPr>
        <w:t>Испирян</w:t>
      </w:r>
      <w:proofErr w:type="spellEnd"/>
      <w:r w:rsidRPr="00BD25D7">
        <w:rPr>
          <w:rFonts w:ascii="Times New Roman" w:eastAsia="Calibri" w:hAnsi="Times New Roman" w:cs="Times New Roman"/>
          <w:bCs/>
          <w:color w:val="000000"/>
          <w:sz w:val="28"/>
          <w:szCs w:val="28"/>
          <w:lang w:eastAsia="ru-RU"/>
        </w:rPr>
        <w:t xml:space="preserve"> // Математическое моделирование в экономике, управлении и </w:t>
      </w:r>
      <w:proofErr w:type="gramStart"/>
      <w:r w:rsidRPr="00BD25D7">
        <w:rPr>
          <w:rFonts w:ascii="Times New Roman" w:eastAsia="Calibri" w:hAnsi="Times New Roman" w:cs="Times New Roman"/>
          <w:bCs/>
          <w:color w:val="000000"/>
          <w:sz w:val="28"/>
          <w:szCs w:val="28"/>
          <w:lang w:eastAsia="ru-RU"/>
        </w:rPr>
        <w:t>образовании :</w:t>
      </w:r>
      <w:proofErr w:type="gramEnd"/>
      <w:r w:rsidRPr="00BD25D7">
        <w:rPr>
          <w:rFonts w:ascii="Times New Roman" w:eastAsia="Calibri" w:hAnsi="Times New Roman" w:cs="Times New Roman"/>
          <w:bCs/>
          <w:color w:val="000000"/>
          <w:sz w:val="28"/>
          <w:szCs w:val="28"/>
          <w:lang w:eastAsia="ru-RU"/>
        </w:rPr>
        <w:t xml:space="preserve"> сборник научных статей по материалам </w:t>
      </w:r>
      <w:r w:rsidRPr="00BD25D7">
        <w:rPr>
          <w:rFonts w:ascii="Times New Roman" w:eastAsia="Calibri" w:hAnsi="Times New Roman" w:cs="Times New Roman"/>
          <w:bCs/>
          <w:color w:val="000000"/>
          <w:sz w:val="28"/>
          <w:szCs w:val="28"/>
          <w:lang w:val="en-US" w:eastAsia="ru-RU"/>
        </w:rPr>
        <w:t>III</w:t>
      </w:r>
      <w:r w:rsidRPr="00BD25D7">
        <w:rPr>
          <w:rFonts w:ascii="Times New Roman" w:eastAsia="Calibri" w:hAnsi="Times New Roman" w:cs="Times New Roman"/>
          <w:bCs/>
          <w:color w:val="000000"/>
          <w:sz w:val="28"/>
          <w:szCs w:val="28"/>
          <w:lang w:eastAsia="ru-RU"/>
        </w:rPr>
        <w:t xml:space="preserve"> Международной научно-практической конференции, Калуга, 16–17 ноября 2022 года. – Калуга: ООО «ТРП», 2022. – С. 86-92.</w:t>
      </w:r>
    </w:p>
    <w:p w:rsidR="00BD25D7" w:rsidRPr="00BD25D7" w:rsidRDefault="00BD25D7" w:rsidP="00F1562B">
      <w:pPr>
        <w:numPr>
          <w:ilvl w:val="0"/>
          <w:numId w:val="1"/>
        </w:numPr>
        <w:spacing w:after="0" w:line="360" w:lineRule="auto"/>
        <w:ind w:right="-1"/>
        <w:contextualSpacing/>
        <w:jc w:val="both"/>
        <w:rPr>
          <w:rFonts w:ascii="Times New Roman" w:eastAsia="Calibri" w:hAnsi="Times New Roman" w:cs="Times New Roman"/>
          <w:bCs/>
          <w:color w:val="000000"/>
          <w:sz w:val="28"/>
          <w:szCs w:val="28"/>
          <w:lang w:eastAsia="ru-RU"/>
        </w:rPr>
      </w:pPr>
      <w:proofErr w:type="spellStart"/>
      <w:r w:rsidRPr="00BD25D7">
        <w:rPr>
          <w:rFonts w:ascii="Times New Roman" w:eastAsia="Calibri" w:hAnsi="Times New Roman" w:cs="Times New Roman"/>
          <w:bCs/>
          <w:color w:val="000000"/>
          <w:sz w:val="28"/>
          <w:szCs w:val="28"/>
          <w:lang w:eastAsia="ru-RU"/>
        </w:rPr>
        <w:t>Агапитова</w:t>
      </w:r>
      <w:proofErr w:type="spellEnd"/>
      <w:r w:rsidRPr="00BD25D7">
        <w:rPr>
          <w:rFonts w:ascii="Times New Roman" w:eastAsia="Calibri" w:hAnsi="Times New Roman" w:cs="Times New Roman"/>
          <w:bCs/>
          <w:color w:val="000000"/>
          <w:sz w:val="28"/>
          <w:szCs w:val="28"/>
          <w:lang w:eastAsia="ru-RU"/>
        </w:rPr>
        <w:t xml:space="preserve">, Е. А. Основные этапы анализа и управления трудовыми ресурсами / Е. А. </w:t>
      </w:r>
      <w:proofErr w:type="spellStart"/>
      <w:r w:rsidRPr="00BD25D7">
        <w:rPr>
          <w:rFonts w:ascii="Times New Roman" w:eastAsia="Calibri" w:hAnsi="Times New Roman" w:cs="Times New Roman"/>
          <w:bCs/>
          <w:color w:val="000000"/>
          <w:sz w:val="28"/>
          <w:szCs w:val="28"/>
          <w:lang w:eastAsia="ru-RU"/>
        </w:rPr>
        <w:t>Агапитова</w:t>
      </w:r>
      <w:proofErr w:type="spellEnd"/>
      <w:r w:rsidRPr="00BD25D7">
        <w:rPr>
          <w:rFonts w:ascii="Times New Roman" w:eastAsia="Calibri" w:hAnsi="Times New Roman" w:cs="Times New Roman"/>
          <w:bCs/>
          <w:color w:val="000000"/>
          <w:sz w:val="28"/>
          <w:szCs w:val="28"/>
          <w:lang w:eastAsia="ru-RU"/>
        </w:rPr>
        <w:t xml:space="preserve">, Л. А. </w:t>
      </w:r>
      <w:proofErr w:type="spellStart"/>
      <w:r w:rsidRPr="00BD25D7">
        <w:rPr>
          <w:rFonts w:ascii="Times New Roman" w:eastAsia="Calibri" w:hAnsi="Times New Roman" w:cs="Times New Roman"/>
          <w:bCs/>
          <w:color w:val="000000"/>
          <w:sz w:val="28"/>
          <w:szCs w:val="28"/>
          <w:lang w:eastAsia="ru-RU"/>
        </w:rPr>
        <w:t>Адамайтис</w:t>
      </w:r>
      <w:proofErr w:type="spellEnd"/>
      <w:r w:rsidRPr="00BD25D7">
        <w:rPr>
          <w:rFonts w:ascii="Times New Roman" w:eastAsia="Calibri" w:hAnsi="Times New Roman" w:cs="Times New Roman"/>
          <w:bCs/>
          <w:color w:val="000000"/>
          <w:sz w:val="28"/>
          <w:szCs w:val="28"/>
          <w:lang w:eastAsia="ru-RU"/>
        </w:rPr>
        <w:t xml:space="preserve">, Е. С. Трефилова // Вектор экономики. – 2022. – № 12(30). – С. 1. </w:t>
      </w:r>
    </w:p>
    <w:p w:rsidR="00BD25D7" w:rsidRPr="00BD25D7" w:rsidRDefault="00BD25D7" w:rsidP="00F1562B">
      <w:pPr>
        <w:spacing w:after="0" w:line="360" w:lineRule="auto"/>
        <w:ind w:right="-1"/>
        <w:contextualSpacing/>
        <w:jc w:val="both"/>
        <w:rPr>
          <w:rFonts w:ascii="Times New Roman Regular" w:eastAsia="Calibri" w:hAnsi="Times New Roman Regular" w:cs="Times New Roman Regular"/>
          <w:bCs/>
          <w:color w:val="000000"/>
          <w:sz w:val="28"/>
          <w:szCs w:val="28"/>
          <w:lang w:eastAsia="ru-RU"/>
        </w:rPr>
      </w:pPr>
      <w:r w:rsidRPr="00BD25D7">
        <w:rPr>
          <w:rFonts w:ascii="Times New Roman Regular" w:eastAsia="Calibri" w:hAnsi="Times New Roman Regular" w:cs="Times New Roman Regular"/>
          <w:bCs/>
          <w:color w:val="000000"/>
          <w:sz w:val="28"/>
          <w:szCs w:val="28"/>
          <w:lang w:eastAsia="ru-RU"/>
        </w:rPr>
        <w:br w:type="page"/>
      </w:r>
    </w:p>
    <w:p w:rsidR="005B04AC" w:rsidRDefault="005B04AC" w:rsidP="00365609">
      <w:pPr>
        <w:spacing w:after="0"/>
        <w:ind w:right="-1"/>
        <w:contextualSpacing/>
      </w:pPr>
    </w:p>
    <w:sectPr w:rsidR="005B04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Bold">
    <w:altName w:val="Times New Roman"/>
    <w:charset w:val="00"/>
    <w:family w:val="auto"/>
    <w:pitch w:val="default"/>
    <w:sig w:usb0="00000000" w:usb1="C0007841" w:usb2="00000009" w:usb3="00000000" w:csb0="400001FF" w:csb1="FFFF0000"/>
  </w:font>
  <w:font w:name="Times New Roman Regular">
    <w:altName w:val="Times New Roman"/>
    <w:charset w:val="00"/>
    <w:family w:val="auto"/>
    <w:pitch w:val="default"/>
    <w:sig w:usb0="00000000" w:usb1="C0007841" w:usb2="00000009" w:usb3="00000000" w:csb0="400001FF" w:csb1="FFFF0000"/>
  </w:font>
  <w:font w:name="DejaVu Math TeX Gyre">
    <w:altName w:val="Cambria Math"/>
    <w:charset w:val="00"/>
    <w:family w:val="auto"/>
    <w:pitch w:val="default"/>
    <w:sig w:usb0="00000001" w:usb1="4201F9EE" w:usb2="02000000" w:usb3="00000000" w:csb0="60000193" w:csb1="0DD4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F876BD"/>
    <w:multiLevelType w:val="singleLevel"/>
    <w:tmpl w:val="F6F876BD"/>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5D7"/>
    <w:rsid w:val="00365609"/>
    <w:rsid w:val="003F787F"/>
    <w:rsid w:val="005B04AC"/>
    <w:rsid w:val="006F2562"/>
    <w:rsid w:val="00870D08"/>
    <w:rsid w:val="008B16D1"/>
    <w:rsid w:val="00BD25D7"/>
    <w:rsid w:val="00DC58B5"/>
    <w:rsid w:val="00F15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C4FDF"/>
  <w15:chartTrackingRefBased/>
  <w15:docId w15:val="{8FE939CC-68FC-4A80-A0B4-A1E51E27F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fontTable" Target="fontTable.xml"/><Relationship Id="rId5" Type="http://schemas.openxmlformats.org/officeDocument/2006/relationships/diagramData" Target="diagrams/data1.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706490-91FD-4D04-8256-321F7A60277F}" type="doc">
      <dgm:prSet loTypeId="urn:microsoft.com/office/officeart/2005/8/layout/orgChart1#2" loCatId="hierarchy" qsTypeId="urn:microsoft.com/office/officeart/2005/8/quickstyle/simple1#2" qsCatId="simple" csTypeId="urn:microsoft.com/office/officeart/2005/8/colors/accent0_1#2" csCatId="mainScheme" phldr="1"/>
      <dgm:spPr/>
      <dgm:t>
        <a:bodyPr/>
        <a:lstStyle/>
        <a:p>
          <a:endParaRPr lang="ru-RU"/>
        </a:p>
      </dgm:t>
    </dgm:pt>
    <dgm:pt modelId="{6148FE7C-7D53-48BA-BD80-6C58D7EF1289}">
      <dgm:prSet phldrT="[Текст]" custT="1"/>
      <dgm:spPr>
        <a:xfrm>
          <a:off x="441624" y="1180"/>
          <a:ext cx="4603151" cy="56642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nSpc>
              <a:spcPct val="100000"/>
            </a:lnSpc>
            <a:spcBef>
              <a:spcPts val="0"/>
            </a:spcBef>
            <a:spcAft>
              <a:spcPts val="0"/>
            </a:spcAft>
          </a:pPr>
          <a:r>
            <a:rPr lang="ru-RU" sz="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Методика оценки системы управления трудовыми ресурсами торгового предприятия</a:t>
          </a:r>
        </a:p>
      </dgm:t>
    </dgm:pt>
    <dgm:pt modelId="{A416C6C5-79DA-4668-A75B-04EC5DC3A298}" type="parTrans" cxnId="{0C4DAE39-9F59-4917-BE40-22E73FA5AF3F}">
      <dgm:prSe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3C2D9F5A-25CB-4D67-BC4F-26FC10E81FA1}" type="sibTrans" cxnId="{0C4DAE39-9F59-4917-BE40-22E73FA5AF3F}">
      <dgm:prSe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FE53F40E-A116-4C7A-94FB-D46EEBA1EA95}" type="asst">
      <dgm:prSet phldrT="[Текст]" custT="1"/>
      <dgm:spPr>
        <a:xfrm>
          <a:off x="834241" y="874911"/>
          <a:ext cx="1755306" cy="73167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nSpc>
              <a:spcPct val="100000"/>
            </a:lnSpc>
            <a:spcBef>
              <a:spcPts val="0"/>
            </a:spcBef>
            <a:spcAft>
              <a:spcPts val="0"/>
            </a:spcAft>
          </a:pPr>
          <a:r>
            <a:rPr lang="ru-RU" sz="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1. Анализ организационной структуры</a:t>
          </a:r>
        </a:p>
      </dgm:t>
    </dgm:pt>
    <dgm:pt modelId="{E828D412-E0D8-4F27-953D-CDD60F0DA809}" type="parTrans" cxnId="{6DDB3D06-14FF-4254-B857-D0EFF986CD31}">
      <dgm:prSet/>
      <dgm:spPr>
        <a:xfrm>
          <a:off x="2589547" y="567607"/>
          <a:ext cx="153652" cy="673142"/>
        </a:xfrm>
        <a:custGeom>
          <a:avLst/>
          <a:gdLst/>
          <a:ahLst/>
          <a:cxnLst/>
          <a:rect l="0" t="0" r="0" b="0"/>
          <a:pathLst>
            <a:path>
              <a:moveTo>
                <a:pt x="153652" y="0"/>
              </a:moveTo>
              <a:lnTo>
                <a:pt x="153652" y="673142"/>
              </a:lnTo>
              <a:lnTo>
                <a:pt x="0" y="67314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F2C45FC7-964E-4452-BF8A-BC36E484DB95}" type="sibTrans" cxnId="{6DDB3D06-14FF-4254-B857-D0EFF986CD31}">
      <dgm:prSe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F82DBC75-5803-4819-887B-4DC79047D851}">
      <dgm:prSet phldrT="[Текст]" custT="1"/>
      <dgm:spPr>
        <a:xfrm>
          <a:off x="132110" y="1913892"/>
          <a:ext cx="1463352" cy="85442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nSpc>
              <a:spcPct val="100000"/>
            </a:lnSpc>
            <a:spcBef>
              <a:spcPts val="0"/>
            </a:spcBef>
            <a:spcAft>
              <a:spcPts val="0"/>
            </a:spcAft>
          </a:pPr>
          <a:r>
            <a:rPr lang="ru-RU" sz="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3. Оценка системы мотивации и стимулирования</a:t>
          </a:r>
        </a:p>
      </dgm:t>
    </dgm:pt>
    <dgm:pt modelId="{A5BF5CC5-2589-4779-BB61-244739CF3393}" type="parTrans" cxnId="{2A2E80F2-B928-41BA-B67D-963E51AB6DA1}">
      <dgm:prSet/>
      <dgm:spPr>
        <a:xfrm>
          <a:off x="863787" y="567607"/>
          <a:ext cx="1879412" cy="1346284"/>
        </a:xfrm>
        <a:custGeom>
          <a:avLst/>
          <a:gdLst/>
          <a:ahLst/>
          <a:cxnLst/>
          <a:rect l="0" t="0" r="0" b="0"/>
          <a:pathLst>
            <a:path>
              <a:moveTo>
                <a:pt x="1879412" y="0"/>
              </a:moveTo>
              <a:lnTo>
                <a:pt x="1879412" y="1192632"/>
              </a:lnTo>
              <a:lnTo>
                <a:pt x="0" y="1192632"/>
              </a:lnTo>
              <a:lnTo>
                <a:pt x="0" y="1346284"/>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AC3F6135-4A02-422F-A2C4-DE4AF0ED4FB0}" type="sibTrans" cxnId="{2A2E80F2-B928-41BA-B67D-963E51AB6DA1}">
      <dgm:prSe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AD15A40D-23F4-4A2B-A18A-50D4112C714B}">
      <dgm:prSet phldrT="[Текст]" custT="1"/>
      <dgm:spPr>
        <a:xfrm>
          <a:off x="1902767" y="1913892"/>
          <a:ext cx="1680865" cy="85860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nSpc>
              <a:spcPct val="100000"/>
            </a:lnSpc>
            <a:spcBef>
              <a:spcPts val="0"/>
            </a:spcBef>
            <a:spcAft>
              <a:spcPts val="0"/>
            </a:spcAft>
          </a:pPr>
          <a:r>
            <a:rPr lang="ru-RU" sz="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4. Анализ эффективности использования трудового потенциала</a:t>
          </a:r>
        </a:p>
      </dgm:t>
    </dgm:pt>
    <dgm:pt modelId="{D312215E-6EA5-4757-8906-DF71FAD3464C}" type="parTrans" cxnId="{14E94DA4-32AC-4C36-9335-7CC8BF52B0A4}">
      <dgm:prSet/>
      <dgm:spPr>
        <a:xfrm>
          <a:off x="2697480" y="567607"/>
          <a:ext cx="91440" cy="1346284"/>
        </a:xfrm>
        <a:custGeom>
          <a:avLst/>
          <a:gdLst/>
          <a:ahLst/>
          <a:cxnLst/>
          <a:rect l="0" t="0" r="0" b="0"/>
          <a:pathLst>
            <a:path>
              <a:moveTo>
                <a:pt x="45720" y="0"/>
              </a:moveTo>
              <a:lnTo>
                <a:pt x="45720" y="1346284"/>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A259B568-129B-4D81-B604-9B26312FE75D}" type="sibTrans" cxnId="{14E94DA4-32AC-4C36-9335-7CC8BF52B0A4}">
      <dgm:prSe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0ABC1E2D-05AB-48F9-97EC-FD148F9E8489}">
      <dgm:prSet phldrT="[Текст]" custT="1"/>
      <dgm:spPr>
        <a:xfrm>
          <a:off x="3890936" y="1913892"/>
          <a:ext cx="1463352" cy="83496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nSpc>
              <a:spcPct val="100000"/>
            </a:lnSpc>
            <a:spcBef>
              <a:spcPts val="0"/>
            </a:spcBef>
            <a:spcAft>
              <a:spcPts val="0"/>
            </a:spcAft>
          </a:pPr>
          <a:r>
            <a:rPr lang="ru-RU" sz="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5. Выявление проблемных зон и разработка рекомендаций</a:t>
          </a:r>
        </a:p>
      </dgm:t>
    </dgm:pt>
    <dgm:pt modelId="{5AD2D94A-3010-4441-83F2-E6434DFB7043}" type="parTrans" cxnId="{4EE26469-5B10-43F8-B6B2-C31BCC4667A4}">
      <dgm:prSet/>
      <dgm:spPr>
        <a:xfrm>
          <a:off x="2743200" y="567607"/>
          <a:ext cx="1879412" cy="1346284"/>
        </a:xfrm>
        <a:custGeom>
          <a:avLst/>
          <a:gdLst/>
          <a:ahLst/>
          <a:cxnLst/>
          <a:rect l="0" t="0" r="0" b="0"/>
          <a:pathLst>
            <a:path>
              <a:moveTo>
                <a:pt x="0" y="0"/>
              </a:moveTo>
              <a:lnTo>
                <a:pt x="0" y="1192632"/>
              </a:lnTo>
              <a:lnTo>
                <a:pt x="1879412" y="1192632"/>
              </a:lnTo>
              <a:lnTo>
                <a:pt x="1879412" y="1346284"/>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BA20C61B-AB53-40AC-B0EE-21C0E8912B50}" type="sibTrans" cxnId="{4EE26469-5B10-43F8-B6B2-C31BCC4667A4}">
      <dgm:prSe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6B3C3336-F284-44EB-A25D-B617CFDEDADA}" type="asst">
      <dgm:prSet custT="1"/>
      <dgm:spPr>
        <a:xfrm>
          <a:off x="2896852" y="874911"/>
          <a:ext cx="1760896" cy="73167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lnSpc>
              <a:spcPct val="100000"/>
            </a:lnSpc>
            <a:spcBef>
              <a:spcPts val="0"/>
            </a:spcBef>
            <a:spcAft>
              <a:spcPts val="0"/>
            </a:spcAft>
          </a:pPr>
          <a:r>
            <a:rPr lang="ru-RU" sz="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2. Анализ процессов управления персоналом</a:t>
          </a:r>
        </a:p>
      </dgm:t>
    </dgm:pt>
    <dgm:pt modelId="{370D3841-CC3D-425E-B56C-DF52AE8E43BE}" type="parTrans" cxnId="{6FC3BDB2-CA58-49FC-B4FF-6511CFD39536}">
      <dgm:prSet/>
      <dgm:spPr>
        <a:xfrm>
          <a:off x="2743200" y="567607"/>
          <a:ext cx="153652" cy="673142"/>
        </a:xfrm>
        <a:custGeom>
          <a:avLst/>
          <a:gdLst/>
          <a:ahLst/>
          <a:cxnLst/>
          <a:rect l="0" t="0" r="0" b="0"/>
          <a:pathLst>
            <a:path>
              <a:moveTo>
                <a:pt x="0" y="0"/>
              </a:moveTo>
              <a:lnTo>
                <a:pt x="0" y="673142"/>
              </a:lnTo>
              <a:lnTo>
                <a:pt x="153652" y="67314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9DB684E0-715A-4333-8BE1-EB0980434148}" type="sibTrans" cxnId="{6FC3BDB2-CA58-49FC-B4FF-6511CFD39536}">
      <dgm:prSet/>
      <dgm:spPr/>
      <dgm:t>
        <a:bodyPr/>
        <a:lstStyle/>
        <a:p>
          <a:pPr>
            <a:lnSpc>
              <a:spcPct val="100000"/>
            </a:lnSpc>
            <a:spcBef>
              <a:spcPts val="0"/>
            </a:spcBef>
            <a:spcAft>
              <a:spcPts val="0"/>
            </a:spcAft>
          </a:pPr>
          <a:endParaRPr lang="ru-RU" sz="1200">
            <a:latin typeface="Times New Roman" panose="02020603050405020304" charset="0"/>
            <a:cs typeface="Times New Roman" panose="02020603050405020304" charset="0"/>
          </a:endParaRPr>
        </a:p>
      </dgm:t>
    </dgm:pt>
    <dgm:pt modelId="{66B9959C-CB11-4715-A4ED-6EE4658D37A4}" type="pres">
      <dgm:prSet presAssocID="{1D706490-91FD-4D04-8256-321F7A60277F}" presName="hierChild1" presStyleCnt="0">
        <dgm:presLayoutVars>
          <dgm:orgChart val="1"/>
          <dgm:chPref val="1"/>
          <dgm:dir/>
          <dgm:animOne val="branch"/>
          <dgm:animLvl val="lvl"/>
          <dgm:resizeHandles/>
        </dgm:presLayoutVars>
      </dgm:prSet>
      <dgm:spPr/>
      <dgm:t>
        <a:bodyPr/>
        <a:lstStyle/>
        <a:p>
          <a:endParaRPr lang="ru-RU"/>
        </a:p>
      </dgm:t>
    </dgm:pt>
    <dgm:pt modelId="{FDBA479A-76F9-48B1-B69C-68A9C410F7D5}" type="pres">
      <dgm:prSet presAssocID="{6148FE7C-7D53-48BA-BD80-6C58D7EF1289}" presName="hierRoot1" presStyleCnt="0">
        <dgm:presLayoutVars>
          <dgm:hierBranch val="init"/>
        </dgm:presLayoutVars>
      </dgm:prSet>
      <dgm:spPr/>
    </dgm:pt>
    <dgm:pt modelId="{CAA41F5E-92EF-4EB5-A9FA-48357A832CEA}" type="pres">
      <dgm:prSet presAssocID="{6148FE7C-7D53-48BA-BD80-6C58D7EF1289}" presName="rootComposite1" presStyleCnt="0"/>
      <dgm:spPr/>
    </dgm:pt>
    <dgm:pt modelId="{B0426780-961F-48C4-910C-18CE81C484D5}" type="pres">
      <dgm:prSet presAssocID="{6148FE7C-7D53-48BA-BD80-6C58D7EF1289}" presName="rootText1" presStyleLbl="node0" presStyleIdx="0" presStyleCnt="1" custScaleX="314562" custScaleY="77415">
        <dgm:presLayoutVars>
          <dgm:chPref val="3"/>
        </dgm:presLayoutVars>
      </dgm:prSet>
      <dgm:spPr/>
      <dgm:t>
        <a:bodyPr/>
        <a:lstStyle/>
        <a:p>
          <a:endParaRPr lang="ru-RU"/>
        </a:p>
      </dgm:t>
    </dgm:pt>
    <dgm:pt modelId="{F90BEC1C-2BF6-4F8A-B7AF-2A53E752753C}" type="pres">
      <dgm:prSet presAssocID="{6148FE7C-7D53-48BA-BD80-6C58D7EF1289}" presName="rootConnector1" presStyleLbl="node1" presStyleIdx="0" presStyleCnt="0"/>
      <dgm:spPr/>
      <dgm:t>
        <a:bodyPr/>
        <a:lstStyle/>
        <a:p>
          <a:endParaRPr lang="ru-RU"/>
        </a:p>
      </dgm:t>
    </dgm:pt>
    <dgm:pt modelId="{56260107-F3A0-4455-812E-A63D1D6D3080}" type="pres">
      <dgm:prSet presAssocID="{6148FE7C-7D53-48BA-BD80-6C58D7EF1289}" presName="hierChild2" presStyleCnt="0"/>
      <dgm:spPr/>
    </dgm:pt>
    <dgm:pt modelId="{823D1975-36C0-4CA6-BCE5-42F6849F1227}" type="pres">
      <dgm:prSet presAssocID="{A5BF5CC5-2589-4779-BB61-244739CF3393}" presName="Name37" presStyleLbl="parChTrans1D2" presStyleIdx="0" presStyleCnt="5"/>
      <dgm:spPr/>
      <dgm:t>
        <a:bodyPr/>
        <a:lstStyle/>
        <a:p>
          <a:endParaRPr lang="ru-RU"/>
        </a:p>
      </dgm:t>
    </dgm:pt>
    <dgm:pt modelId="{FA9464BE-50A0-4DAF-A512-A46C2C54824A}" type="pres">
      <dgm:prSet presAssocID="{F82DBC75-5803-4819-887B-4DC79047D851}" presName="hierRoot2" presStyleCnt="0">
        <dgm:presLayoutVars>
          <dgm:hierBranch val="init"/>
        </dgm:presLayoutVars>
      </dgm:prSet>
      <dgm:spPr/>
    </dgm:pt>
    <dgm:pt modelId="{C10B80AB-B268-4FA9-B19E-78C44E9442C3}" type="pres">
      <dgm:prSet presAssocID="{F82DBC75-5803-4819-887B-4DC79047D851}" presName="rootComposite" presStyleCnt="0"/>
      <dgm:spPr/>
    </dgm:pt>
    <dgm:pt modelId="{A26E1324-63E8-4465-B7EA-878C00F14AE7}" type="pres">
      <dgm:prSet presAssocID="{F82DBC75-5803-4819-887B-4DC79047D851}" presName="rootText" presStyleLbl="node2" presStyleIdx="0" presStyleCnt="3" custScaleY="116777">
        <dgm:presLayoutVars>
          <dgm:chPref val="3"/>
        </dgm:presLayoutVars>
      </dgm:prSet>
      <dgm:spPr/>
      <dgm:t>
        <a:bodyPr/>
        <a:lstStyle/>
        <a:p>
          <a:endParaRPr lang="ru-RU"/>
        </a:p>
      </dgm:t>
    </dgm:pt>
    <dgm:pt modelId="{78DD5268-E642-4B6C-A0BE-F59C4C4234B5}" type="pres">
      <dgm:prSet presAssocID="{F82DBC75-5803-4819-887B-4DC79047D851}" presName="rootConnector" presStyleLbl="node2" presStyleIdx="0" presStyleCnt="3"/>
      <dgm:spPr/>
      <dgm:t>
        <a:bodyPr/>
        <a:lstStyle/>
        <a:p>
          <a:endParaRPr lang="ru-RU"/>
        </a:p>
      </dgm:t>
    </dgm:pt>
    <dgm:pt modelId="{BCF035AB-76F4-41CA-B8AD-23F59FE93E9C}" type="pres">
      <dgm:prSet presAssocID="{F82DBC75-5803-4819-887B-4DC79047D851}" presName="hierChild4" presStyleCnt="0"/>
      <dgm:spPr/>
    </dgm:pt>
    <dgm:pt modelId="{BAFDBC60-96E1-4A90-B662-B704BC978FC1}" type="pres">
      <dgm:prSet presAssocID="{F82DBC75-5803-4819-887B-4DC79047D851}" presName="hierChild5" presStyleCnt="0"/>
      <dgm:spPr/>
    </dgm:pt>
    <dgm:pt modelId="{E1668A97-D288-4923-9C43-C3B4BA2D6D00}" type="pres">
      <dgm:prSet presAssocID="{D312215E-6EA5-4757-8906-DF71FAD3464C}" presName="Name37" presStyleLbl="parChTrans1D2" presStyleIdx="1" presStyleCnt="5"/>
      <dgm:spPr/>
      <dgm:t>
        <a:bodyPr/>
        <a:lstStyle/>
        <a:p>
          <a:endParaRPr lang="ru-RU"/>
        </a:p>
      </dgm:t>
    </dgm:pt>
    <dgm:pt modelId="{16CAF933-64B6-4581-BDA3-33AB478EFFB1}" type="pres">
      <dgm:prSet presAssocID="{AD15A40D-23F4-4A2B-A18A-50D4112C714B}" presName="hierRoot2" presStyleCnt="0">
        <dgm:presLayoutVars>
          <dgm:hierBranch val="init"/>
        </dgm:presLayoutVars>
      </dgm:prSet>
      <dgm:spPr/>
    </dgm:pt>
    <dgm:pt modelId="{33AA0ED0-A5BB-41AB-8AD9-FE58FC9E0D2F}" type="pres">
      <dgm:prSet presAssocID="{AD15A40D-23F4-4A2B-A18A-50D4112C714B}" presName="rootComposite" presStyleCnt="0"/>
      <dgm:spPr/>
    </dgm:pt>
    <dgm:pt modelId="{E0860123-D786-4FB8-974F-45C4135D6EC4}" type="pres">
      <dgm:prSet presAssocID="{AD15A40D-23F4-4A2B-A18A-50D4112C714B}" presName="rootText" presStyleLbl="node2" presStyleIdx="1" presStyleCnt="3" custScaleX="114864" custScaleY="117348">
        <dgm:presLayoutVars>
          <dgm:chPref val="3"/>
        </dgm:presLayoutVars>
      </dgm:prSet>
      <dgm:spPr/>
      <dgm:t>
        <a:bodyPr/>
        <a:lstStyle/>
        <a:p>
          <a:endParaRPr lang="ru-RU"/>
        </a:p>
      </dgm:t>
    </dgm:pt>
    <dgm:pt modelId="{FF4EAB68-1C99-4797-B0E3-FD0F61643B1F}" type="pres">
      <dgm:prSet presAssocID="{AD15A40D-23F4-4A2B-A18A-50D4112C714B}" presName="rootConnector" presStyleLbl="node2" presStyleIdx="1" presStyleCnt="3"/>
      <dgm:spPr/>
      <dgm:t>
        <a:bodyPr/>
        <a:lstStyle/>
        <a:p>
          <a:endParaRPr lang="ru-RU"/>
        </a:p>
      </dgm:t>
    </dgm:pt>
    <dgm:pt modelId="{F16F5D1B-3977-4263-9E68-6482E6A04CCB}" type="pres">
      <dgm:prSet presAssocID="{AD15A40D-23F4-4A2B-A18A-50D4112C714B}" presName="hierChild4" presStyleCnt="0"/>
      <dgm:spPr/>
    </dgm:pt>
    <dgm:pt modelId="{899A3424-C33C-49D2-922B-51392B678B04}" type="pres">
      <dgm:prSet presAssocID="{AD15A40D-23F4-4A2B-A18A-50D4112C714B}" presName="hierChild5" presStyleCnt="0"/>
      <dgm:spPr/>
    </dgm:pt>
    <dgm:pt modelId="{E9E5B820-3692-483B-A65E-1E099488F947}" type="pres">
      <dgm:prSet presAssocID="{5AD2D94A-3010-4441-83F2-E6434DFB7043}" presName="Name37" presStyleLbl="parChTrans1D2" presStyleIdx="2" presStyleCnt="5"/>
      <dgm:spPr/>
      <dgm:t>
        <a:bodyPr/>
        <a:lstStyle/>
        <a:p>
          <a:endParaRPr lang="ru-RU"/>
        </a:p>
      </dgm:t>
    </dgm:pt>
    <dgm:pt modelId="{176ECC41-F621-44B3-B591-ECE427C4ACB4}" type="pres">
      <dgm:prSet presAssocID="{0ABC1E2D-05AB-48F9-97EC-FD148F9E8489}" presName="hierRoot2" presStyleCnt="0">
        <dgm:presLayoutVars>
          <dgm:hierBranch val="init"/>
        </dgm:presLayoutVars>
      </dgm:prSet>
      <dgm:spPr/>
    </dgm:pt>
    <dgm:pt modelId="{6D59223D-81ED-4422-9C58-2704AB0F1201}" type="pres">
      <dgm:prSet presAssocID="{0ABC1E2D-05AB-48F9-97EC-FD148F9E8489}" presName="rootComposite" presStyleCnt="0"/>
      <dgm:spPr/>
    </dgm:pt>
    <dgm:pt modelId="{06F8451B-35B4-46DC-94E1-81C94D032CEB}" type="pres">
      <dgm:prSet presAssocID="{0ABC1E2D-05AB-48F9-97EC-FD148F9E8489}" presName="rootText" presStyleLbl="node2" presStyleIdx="2" presStyleCnt="3" custScaleY="114117">
        <dgm:presLayoutVars>
          <dgm:chPref val="3"/>
        </dgm:presLayoutVars>
      </dgm:prSet>
      <dgm:spPr/>
      <dgm:t>
        <a:bodyPr/>
        <a:lstStyle/>
        <a:p>
          <a:endParaRPr lang="ru-RU"/>
        </a:p>
      </dgm:t>
    </dgm:pt>
    <dgm:pt modelId="{CE74423B-86BE-4772-8157-BE8AAA0E4634}" type="pres">
      <dgm:prSet presAssocID="{0ABC1E2D-05AB-48F9-97EC-FD148F9E8489}" presName="rootConnector" presStyleLbl="node2" presStyleIdx="2" presStyleCnt="3"/>
      <dgm:spPr/>
      <dgm:t>
        <a:bodyPr/>
        <a:lstStyle/>
        <a:p>
          <a:endParaRPr lang="ru-RU"/>
        </a:p>
      </dgm:t>
    </dgm:pt>
    <dgm:pt modelId="{013A4500-241D-4F1C-A1F6-0ADC59EF5C5A}" type="pres">
      <dgm:prSet presAssocID="{0ABC1E2D-05AB-48F9-97EC-FD148F9E8489}" presName="hierChild4" presStyleCnt="0"/>
      <dgm:spPr/>
    </dgm:pt>
    <dgm:pt modelId="{EBB4B800-0875-42AE-80ED-81A39C772E85}" type="pres">
      <dgm:prSet presAssocID="{0ABC1E2D-05AB-48F9-97EC-FD148F9E8489}" presName="hierChild5" presStyleCnt="0"/>
      <dgm:spPr/>
    </dgm:pt>
    <dgm:pt modelId="{1E571ADF-75A7-48EC-9547-38F567BF901F}" type="pres">
      <dgm:prSet presAssocID="{6148FE7C-7D53-48BA-BD80-6C58D7EF1289}" presName="hierChild3" presStyleCnt="0"/>
      <dgm:spPr/>
    </dgm:pt>
    <dgm:pt modelId="{228BB09D-52AF-4BF3-A319-5E9479A66DB3}" type="pres">
      <dgm:prSet presAssocID="{E828D412-E0D8-4F27-953D-CDD60F0DA809}" presName="Name111" presStyleLbl="parChTrans1D2" presStyleIdx="3" presStyleCnt="5"/>
      <dgm:spPr/>
      <dgm:t>
        <a:bodyPr/>
        <a:lstStyle/>
        <a:p>
          <a:endParaRPr lang="ru-RU"/>
        </a:p>
      </dgm:t>
    </dgm:pt>
    <dgm:pt modelId="{61B35C67-7608-4A4B-B50F-293102E5AA71}" type="pres">
      <dgm:prSet presAssocID="{FE53F40E-A116-4C7A-94FB-D46EEBA1EA95}" presName="hierRoot3" presStyleCnt="0">
        <dgm:presLayoutVars>
          <dgm:hierBranch val="init"/>
        </dgm:presLayoutVars>
      </dgm:prSet>
      <dgm:spPr/>
    </dgm:pt>
    <dgm:pt modelId="{95331EB6-0F4C-4F7C-A2A2-DD63691C8A70}" type="pres">
      <dgm:prSet presAssocID="{FE53F40E-A116-4C7A-94FB-D46EEBA1EA95}" presName="rootComposite3" presStyleCnt="0"/>
      <dgm:spPr/>
    </dgm:pt>
    <dgm:pt modelId="{984B42BE-1BA7-4E86-86D7-63A7BA44B5A7}" type="pres">
      <dgm:prSet presAssocID="{FE53F40E-A116-4C7A-94FB-D46EEBA1EA95}" presName="rootText3" presStyleLbl="asst1" presStyleIdx="0" presStyleCnt="2" custScaleX="119951">
        <dgm:presLayoutVars>
          <dgm:chPref val="3"/>
        </dgm:presLayoutVars>
      </dgm:prSet>
      <dgm:spPr/>
      <dgm:t>
        <a:bodyPr/>
        <a:lstStyle/>
        <a:p>
          <a:endParaRPr lang="ru-RU"/>
        </a:p>
      </dgm:t>
    </dgm:pt>
    <dgm:pt modelId="{6C5EBF14-39B4-4CB3-8F93-A1B404C89DDD}" type="pres">
      <dgm:prSet presAssocID="{FE53F40E-A116-4C7A-94FB-D46EEBA1EA95}" presName="rootConnector3" presStyleLbl="asst1" presStyleIdx="0" presStyleCnt="2"/>
      <dgm:spPr/>
      <dgm:t>
        <a:bodyPr/>
        <a:lstStyle/>
        <a:p>
          <a:endParaRPr lang="ru-RU"/>
        </a:p>
      </dgm:t>
    </dgm:pt>
    <dgm:pt modelId="{370623B4-0F86-470E-89A2-E2DC3BD2BAF3}" type="pres">
      <dgm:prSet presAssocID="{FE53F40E-A116-4C7A-94FB-D46EEBA1EA95}" presName="hierChild6" presStyleCnt="0"/>
      <dgm:spPr/>
    </dgm:pt>
    <dgm:pt modelId="{F4CCFEF3-CAD2-4F67-8AAE-3CD327AF35DC}" type="pres">
      <dgm:prSet presAssocID="{FE53F40E-A116-4C7A-94FB-D46EEBA1EA95}" presName="hierChild7" presStyleCnt="0"/>
      <dgm:spPr/>
    </dgm:pt>
    <dgm:pt modelId="{2B154F58-2A52-4453-96EB-F33E6BB00C27}" type="pres">
      <dgm:prSet presAssocID="{370D3841-CC3D-425E-B56C-DF52AE8E43BE}" presName="Name111" presStyleLbl="parChTrans1D2" presStyleIdx="4" presStyleCnt="5"/>
      <dgm:spPr/>
      <dgm:t>
        <a:bodyPr/>
        <a:lstStyle/>
        <a:p>
          <a:endParaRPr lang="ru-RU"/>
        </a:p>
      </dgm:t>
    </dgm:pt>
    <dgm:pt modelId="{F15A7B54-7739-4276-ADFC-69521E14E200}" type="pres">
      <dgm:prSet presAssocID="{6B3C3336-F284-44EB-A25D-B617CFDEDADA}" presName="hierRoot3" presStyleCnt="0">
        <dgm:presLayoutVars>
          <dgm:hierBranch val="init"/>
        </dgm:presLayoutVars>
      </dgm:prSet>
      <dgm:spPr/>
    </dgm:pt>
    <dgm:pt modelId="{46A1184C-51A5-43EC-9EBC-FF0B625F0696}" type="pres">
      <dgm:prSet presAssocID="{6B3C3336-F284-44EB-A25D-B617CFDEDADA}" presName="rootComposite3" presStyleCnt="0"/>
      <dgm:spPr/>
    </dgm:pt>
    <dgm:pt modelId="{515D07CE-CD98-4709-9DC2-C8E22657FF60}" type="pres">
      <dgm:prSet presAssocID="{6B3C3336-F284-44EB-A25D-B617CFDEDADA}" presName="rootText3" presStyleLbl="asst1" presStyleIdx="1" presStyleCnt="2" custScaleX="120333">
        <dgm:presLayoutVars>
          <dgm:chPref val="3"/>
        </dgm:presLayoutVars>
      </dgm:prSet>
      <dgm:spPr/>
      <dgm:t>
        <a:bodyPr/>
        <a:lstStyle/>
        <a:p>
          <a:endParaRPr lang="ru-RU"/>
        </a:p>
      </dgm:t>
    </dgm:pt>
    <dgm:pt modelId="{D78E3285-4557-4189-A0C6-4F1BAA9D32F0}" type="pres">
      <dgm:prSet presAssocID="{6B3C3336-F284-44EB-A25D-B617CFDEDADA}" presName="rootConnector3" presStyleLbl="asst1" presStyleIdx="1" presStyleCnt="2"/>
      <dgm:spPr/>
      <dgm:t>
        <a:bodyPr/>
        <a:lstStyle/>
        <a:p>
          <a:endParaRPr lang="ru-RU"/>
        </a:p>
      </dgm:t>
    </dgm:pt>
    <dgm:pt modelId="{624045A0-B2E0-4D2B-888A-EB98FC877EF4}" type="pres">
      <dgm:prSet presAssocID="{6B3C3336-F284-44EB-A25D-B617CFDEDADA}" presName="hierChild6" presStyleCnt="0"/>
      <dgm:spPr/>
    </dgm:pt>
    <dgm:pt modelId="{3CFB9E1F-81CE-451D-898B-3C139F5DA225}" type="pres">
      <dgm:prSet presAssocID="{6B3C3336-F284-44EB-A25D-B617CFDEDADA}" presName="hierChild7" presStyleCnt="0"/>
      <dgm:spPr/>
    </dgm:pt>
  </dgm:ptLst>
  <dgm:cxnLst>
    <dgm:cxn modelId="{5396750F-A7BE-486D-9623-B0C192D06B84}" type="presOf" srcId="{5AD2D94A-3010-4441-83F2-E6434DFB7043}" destId="{E9E5B820-3692-483B-A65E-1E099488F947}" srcOrd="0" destOrd="0" presId="urn:microsoft.com/office/officeart/2005/8/layout/orgChart1#2"/>
    <dgm:cxn modelId="{6FC3BDB2-CA58-49FC-B4FF-6511CFD39536}" srcId="{6148FE7C-7D53-48BA-BD80-6C58D7EF1289}" destId="{6B3C3336-F284-44EB-A25D-B617CFDEDADA}" srcOrd="4" destOrd="0" parTransId="{370D3841-CC3D-425E-B56C-DF52AE8E43BE}" sibTransId="{9DB684E0-715A-4333-8BE1-EB0980434148}"/>
    <dgm:cxn modelId="{E936A4B2-B8AB-4690-AAA7-43E7087DB06D}" type="presOf" srcId="{F82DBC75-5803-4819-887B-4DC79047D851}" destId="{78DD5268-E642-4B6C-A0BE-F59C4C4234B5}" srcOrd="1" destOrd="0" presId="urn:microsoft.com/office/officeart/2005/8/layout/orgChart1#2"/>
    <dgm:cxn modelId="{6DDB3D06-14FF-4254-B857-D0EFF986CD31}" srcId="{6148FE7C-7D53-48BA-BD80-6C58D7EF1289}" destId="{FE53F40E-A116-4C7A-94FB-D46EEBA1EA95}" srcOrd="0" destOrd="0" parTransId="{E828D412-E0D8-4F27-953D-CDD60F0DA809}" sibTransId="{F2C45FC7-964E-4452-BF8A-BC36E484DB95}"/>
    <dgm:cxn modelId="{CCBFB011-148F-4D6E-A878-45381D7CAFF8}" type="presOf" srcId="{0ABC1E2D-05AB-48F9-97EC-FD148F9E8489}" destId="{CE74423B-86BE-4772-8157-BE8AAA0E4634}" srcOrd="1" destOrd="0" presId="urn:microsoft.com/office/officeart/2005/8/layout/orgChart1#2"/>
    <dgm:cxn modelId="{0868F890-3156-4018-873F-7E8675D02A37}" type="presOf" srcId="{1D706490-91FD-4D04-8256-321F7A60277F}" destId="{66B9959C-CB11-4715-A4ED-6EE4658D37A4}" srcOrd="0" destOrd="0" presId="urn:microsoft.com/office/officeart/2005/8/layout/orgChart1#2"/>
    <dgm:cxn modelId="{4EE26469-5B10-43F8-B6B2-C31BCC4667A4}" srcId="{6148FE7C-7D53-48BA-BD80-6C58D7EF1289}" destId="{0ABC1E2D-05AB-48F9-97EC-FD148F9E8489}" srcOrd="3" destOrd="0" parTransId="{5AD2D94A-3010-4441-83F2-E6434DFB7043}" sibTransId="{BA20C61B-AB53-40AC-B0EE-21C0E8912B50}"/>
    <dgm:cxn modelId="{0C4DAE39-9F59-4917-BE40-22E73FA5AF3F}" srcId="{1D706490-91FD-4D04-8256-321F7A60277F}" destId="{6148FE7C-7D53-48BA-BD80-6C58D7EF1289}" srcOrd="0" destOrd="0" parTransId="{A416C6C5-79DA-4668-A75B-04EC5DC3A298}" sibTransId="{3C2D9F5A-25CB-4D67-BC4F-26FC10E81FA1}"/>
    <dgm:cxn modelId="{2754D9AE-47F7-4087-922C-62AB0E915352}" type="presOf" srcId="{D312215E-6EA5-4757-8906-DF71FAD3464C}" destId="{E1668A97-D288-4923-9C43-C3B4BA2D6D00}" srcOrd="0" destOrd="0" presId="urn:microsoft.com/office/officeart/2005/8/layout/orgChart1#2"/>
    <dgm:cxn modelId="{E03F08B3-2E1F-49CD-AA1B-CC74520E051D}" type="presOf" srcId="{AD15A40D-23F4-4A2B-A18A-50D4112C714B}" destId="{FF4EAB68-1C99-4797-B0E3-FD0F61643B1F}" srcOrd="1" destOrd="0" presId="urn:microsoft.com/office/officeart/2005/8/layout/orgChart1#2"/>
    <dgm:cxn modelId="{2EAED966-3F93-4A4E-97A8-0F3CF0B4154D}" type="presOf" srcId="{6B3C3336-F284-44EB-A25D-B617CFDEDADA}" destId="{515D07CE-CD98-4709-9DC2-C8E22657FF60}" srcOrd="0" destOrd="0" presId="urn:microsoft.com/office/officeart/2005/8/layout/orgChart1#2"/>
    <dgm:cxn modelId="{C025B685-063B-47BA-8606-CECDD7F22971}" type="presOf" srcId="{E828D412-E0D8-4F27-953D-CDD60F0DA809}" destId="{228BB09D-52AF-4BF3-A319-5E9479A66DB3}" srcOrd="0" destOrd="0" presId="urn:microsoft.com/office/officeart/2005/8/layout/orgChart1#2"/>
    <dgm:cxn modelId="{3449B091-F5AA-4876-A263-2ABD5F291C04}" type="presOf" srcId="{FE53F40E-A116-4C7A-94FB-D46EEBA1EA95}" destId="{6C5EBF14-39B4-4CB3-8F93-A1B404C89DDD}" srcOrd="1" destOrd="0" presId="urn:microsoft.com/office/officeart/2005/8/layout/orgChart1#2"/>
    <dgm:cxn modelId="{58383754-CD6B-4827-A9B6-6DA11F2F36EC}" type="presOf" srcId="{6148FE7C-7D53-48BA-BD80-6C58D7EF1289}" destId="{F90BEC1C-2BF6-4F8A-B7AF-2A53E752753C}" srcOrd="1" destOrd="0" presId="urn:microsoft.com/office/officeart/2005/8/layout/orgChart1#2"/>
    <dgm:cxn modelId="{9EE775E3-375C-4872-B34E-E7DBBAA5F577}" type="presOf" srcId="{AD15A40D-23F4-4A2B-A18A-50D4112C714B}" destId="{E0860123-D786-4FB8-974F-45C4135D6EC4}" srcOrd="0" destOrd="0" presId="urn:microsoft.com/office/officeart/2005/8/layout/orgChart1#2"/>
    <dgm:cxn modelId="{2A2E80F2-B928-41BA-B67D-963E51AB6DA1}" srcId="{6148FE7C-7D53-48BA-BD80-6C58D7EF1289}" destId="{F82DBC75-5803-4819-887B-4DC79047D851}" srcOrd="1" destOrd="0" parTransId="{A5BF5CC5-2589-4779-BB61-244739CF3393}" sibTransId="{AC3F6135-4A02-422F-A2C4-DE4AF0ED4FB0}"/>
    <dgm:cxn modelId="{14E94DA4-32AC-4C36-9335-7CC8BF52B0A4}" srcId="{6148FE7C-7D53-48BA-BD80-6C58D7EF1289}" destId="{AD15A40D-23F4-4A2B-A18A-50D4112C714B}" srcOrd="2" destOrd="0" parTransId="{D312215E-6EA5-4757-8906-DF71FAD3464C}" sibTransId="{A259B568-129B-4D81-B604-9B26312FE75D}"/>
    <dgm:cxn modelId="{48013DB7-12FF-49A9-BEC9-E5C91EC04BDF}" type="presOf" srcId="{F82DBC75-5803-4819-887B-4DC79047D851}" destId="{A26E1324-63E8-4465-B7EA-878C00F14AE7}" srcOrd="0" destOrd="0" presId="urn:microsoft.com/office/officeart/2005/8/layout/orgChart1#2"/>
    <dgm:cxn modelId="{515DCED5-E20D-48DA-B410-87786B63BB59}" type="presOf" srcId="{A5BF5CC5-2589-4779-BB61-244739CF3393}" destId="{823D1975-36C0-4CA6-BCE5-42F6849F1227}" srcOrd="0" destOrd="0" presId="urn:microsoft.com/office/officeart/2005/8/layout/orgChart1#2"/>
    <dgm:cxn modelId="{8710A59E-818D-4021-90D2-D08F2C9EB5BF}" type="presOf" srcId="{0ABC1E2D-05AB-48F9-97EC-FD148F9E8489}" destId="{06F8451B-35B4-46DC-94E1-81C94D032CEB}" srcOrd="0" destOrd="0" presId="urn:microsoft.com/office/officeart/2005/8/layout/orgChart1#2"/>
    <dgm:cxn modelId="{4C5F5278-7D7A-449A-B9B9-6C588BC5D4A0}" type="presOf" srcId="{6148FE7C-7D53-48BA-BD80-6C58D7EF1289}" destId="{B0426780-961F-48C4-910C-18CE81C484D5}" srcOrd="0" destOrd="0" presId="urn:microsoft.com/office/officeart/2005/8/layout/orgChart1#2"/>
    <dgm:cxn modelId="{2545BE76-7591-411A-A95A-E41AFE316484}" type="presOf" srcId="{FE53F40E-A116-4C7A-94FB-D46EEBA1EA95}" destId="{984B42BE-1BA7-4E86-86D7-63A7BA44B5A7}" srcOrd="0" destOrd="0" presId="urn:microsoft.com/office/officeart/2005/8/layout/orgChart1#2"/>
    <dgm:cxn modelId="{5971E026-B286-4906-AFDC-6B75D1A96B37}" type="presOf" srcId="{6B3C3336-F284-44EB-A25D-B617CFDEDADA}" destId="{D78E3285-4557-4189-A0C6-4F1BAA9D32F0}" srcOrd="1" destOrd="0" presId="urn:microsoft.com/office/officeart/2005/8/layout/orgChart1#2"/>
    <dgm:cxn modelId="{0BBD032B-F9C6-4C7A-975A-AFCC2FD7819D}" type="presOf" srcId="{370D3841-CC3D-425E-B56C-DF52AE8E43BE}" destId="{2B154F58-2A52-4453-96EB-F33E6BB00C27}" srcOrd="0" destOrd="0" presId="urn:microsoft.com/office/officeart/2005/8/layout/orgChart1#2"/>
    <dgm:cxn modelId="{4072EEF1-071F-4762-8DAB-95A7C928FA3D}" type="presParOf" srcId="{66B9959C-CB11-4715-A4ED-6EE4658D37A4}" destId="{FDBA479A-76F9-48B1-B69C-68A9C410F7D5}" srcOrd="0" destOrd="0" presId="urn:microsoft.com/office/officeart/2005/8/layout/orgChart1#2"/>
    <dgm:cxn modelId="{4C578D31-8780-47DA-9B1E-B395CDAD86B8}" type="presParOf" srcId="{FDBA479A-76F9-48B1-B69C-68A9C410F7D5}" destId="{CAA41F5E-92EF-4EB5-A9FA-48357A832CEA}" srcOrd="0" destOrd="0" presId="urn:microsoft.com/office/officeart/2005/8/layout/orgChart1#2"/>
    <dgm:cxn modelId="{E193B585-B343-456E-B7ED-F8D1377A880E}" type="presParOf" srcId="{CAA41F5E-92EF-4EB5-A9FA-48357A832CEA}" destId="{B0426780-961F-48C4-910C-18CE81C484D5}" srcOrd="0" destOrd="0" presId="urn:microsoft.com/office/officeart/2005/8/layout/orgChart1#2"/>
    <dgm:cxn modelId="{1237FCB9-B23F-4C99-B5CC-B12BC22A696D}" type="presParOf" srcId="{CAA41F5E-92EF-4EB5-A9FA-48357A832CEA}" destId="{F90BEC1C-2BF6-4F8A-B7AF-2A53E752753C}" srcOrd="1" destOrd="0" presId="urn:microsoft.com/office/officeart/2005/8/layout/orgChart1#2"/>
    <dgm:cxn modelId="{397FDCA0-93C0-4844-A60B-EB9B7EFBF206}" type="presParOf" srcId="{FDBA479A-76F9-48B1-B69C-68A9C410F7D5}" destId="{56260107-F3A0-4455-812E-A63D1D6D3080}" srcOrd="1" destOrd="0" presId="urn:microsoft.com/office/officeart/2005/8/layout/orgChart1#2"/>
    <dgm:cxn modelId="{30BCE257-F4D0-452A-A59A-26D2E04E506E}" type="presParOf" srcId="{56260107-F3A0-4455-812E-A63D1D6D3080}" destId="{823D1975-36C0-4CA6-BCE5-42F6849F1227}" srcOrd="0" destOrd="0" presId="urn:microsoft.com/office/officeart/2005/8/layout/orgChart1#2"/>
    <dgm:cxn modelId="{9F5F31E0-424E-440E-8D34-7194D2A8D2F5}" type="presParOf" srcId="{56260107-F3A0-4455-812E-A63D1D6D3080}" destId="{FA9464BE-50A0-4DAF-A512-A46C2C54824A}" srcOrd="1" destOrd="0" presId="urn:microsoft.com/office/officeart/2005/8/layout/orgChart1#2"/>
    <dgm:cxn modelId="{5A594C6B-F558-4A5D-A96D-A647EE74462F}" type="presParOf" srcId="{FA9464BE-50A0-4DAF-A512-A46C2C54824A}" destId="{C10B80AB-B268-4FA9-B19E-78C44E9442C3}" srcOrd="0" destOrd="0" presId="urn:microsoft.com/office/officeart/2005/8/layout/orgChart1#2"/>
    <dgm:cxn modelId="{D464628F-1A3C-4448-810A-7D334EFE5C19}" type="presParOf" srcId="{C10B80AB-B268-4FA9-B19E-78C44E9442C3}" destId="{A26E1324-63E8-4465-B7EA-878C00F14AE7}" srcOrd="0" destOrd="0" presId="urn:microsoft.com/office/officeart/2005/8/layout/orgChart1#2"/>
    <dgm:cxn modelId="{9952D43D-6B14-4405-87DC-EEC993B76060}" type="presParOf" srcId="{C10B80AB-B268-4FA9-B19E-78C44E9442C3}" destId="{78DD5268-E642-4B6C-A0BE-F59C4C4234B5}" srcOrd="1" destOrd="0" presId="urn:microsoft.com/office/officeart/2005/8/layout/orgChart1#2"/>
    <dgm:cxn modelId="{C7CA984C-669D-4283-B38D-15147587720A}" type="presParOf" srcId="{FA9464BE-50A0-4DAF-A512-A46C2C54824A}" destId="{BCF035AB-76F4-41CA-B8AD-23F59FE93E9C}" srcOrd="1" destOrd="0" presId="urn:microsoft.com/office/officeart/2005/8/layout/orgChart1#2"/>
    <dgm:cxn modelId="{DFE663E9-E331-43F0-BD94-2DF143CA8242}" type="presParOf" srcId="{FA9464BE-50A0-4DAF-A512-A46C2C54824A}" destId="{BAFDBC60-96E1-4A90-B662-B704BC978FC1}" srcOrd="2" destOrd="0" presId="urn:microsoft.com/office/officeart/2005/8/layout/orgChart1#2"/>
    <dgm:cxn modelId="{DC2D28F3-FA2F-45D2-9CA8-5622F1597419}" type="presParOf" srcId="{56260107-F3A0-4455-812E-A63D1D6D3080}" destId="{E1668A97-D288-4923-9C43-C3B4BA2D6D00}" srcOrd="2" destOrd="0" presId="urn:microsoft.com/office/officeart/2005/8/layout/orgChart1#2"/>
    <dgm:cxn modelId="{D915B2E8-C79E-400A-A48A-0AC45A602E5E}" type="presParOf" srcId="{56260107-F3A0-4455-812E-A63D1D6D3080}" destId="{16CAF933-64B6-4581-BDA3-33AB478EFFB1}" srcOrd="3" destOrd="0" presId="urn:microsoft.com/office/officeart/2005/8/layout/orgChart1#2"/>
    <dgm:cxn modelId="{E3DB167A-D9B7-476C-9C4C-B61CF1B0296B}" type="presParOf" srcId="{16CAF933-64B6-4581-BDA3-33AB478EFFB1}" destId="{33AA0ED0-A5BB-41AB-8AD9-FE58FC9E0D2F}" srcOrd="0" destOrd="0" presId="urn:microsoft.com/office/officeart/2005/8/layout/orgChart1#2"/>
    <dgm:cxn modelId="{734453FB-15D9-42EB-83CD-47B0E65312BA}" type="presParOf" srcId="{33AA0ED0-A5BB-41AB-8AD9-FE58FC9E0D2F}" destId="{E0860123-D786-4FB8-974F-45C4135D6EC4}" srcOrd="0" destOrd="0" presId="urn:microsoft.com/office/officeart/2005/8/layout/orgChart1#2"/>
    <dgm:cxn modelId="{833D85B2-CE87-4C66-9DB0-60E483A59F8B}" type="presParOf" srcId="{33AA0ED0-A5BB-41AB-8AD9-FE58FC9E0D2F}" destId="{FF4EAB68-1C99-4797-B0E3-FD0F61643B1F}" srcOrd="1" destOrd="0" presId="urn:microsoft.com/office/officeart/2005/8/layout/orgChart1#2"/>
    <dgm:cxn modelId="{F44B73BC-B8CB-471A-A009-5D71A1D397F8}" type="presParOf" srcId="{16CAF933-64B6-4581-BDA3-33AB478EFFB1}" destId="{F16F5D1B-3977-4263-9E68-6482E6A04CCB}" srcOrd="1" destOrd="0" presId="urn:microsoft.com/office/officeart/2005/8/layout/orgChart1#2"/>
    <dgm:cxn modelId="{033CC526-393C-4DFE-8D3C-3A0E974D3E83}" type="presParOf" srcId="{16CAF933-64B6-4581-BDA3-33AB478EFFB1}" destId="{899A3424-C33C-49D2-922B-51392B678B04}" srcOrd="2" destOrd="0" presId="urn:microsoft.com/office/officeart/2005/8/layout/orgChart1#2"/>
    <dgm:cxn modelId="{01FAD6DA-D7F4-4971-B14E-AEFE12263747}" type="presParOf" srcId="{56260107-F3A0-4455-812E-A63D1D6D3080}" destId="{E9E5B820-3692-483B-A65E-1E099488F947}" srcOrd="4" destOrd="0" presId="urn:microsoft.com/office/officeart/2005/8/layout/orgChart1#2"/>
    <dgm:cxn modelId="{03B69CD3-D473-46CC-9679-A7ED44FE1754}" type="presParOf" srcId="{56260107-F3A0-4455-812E-A63D1D6D3080}" destId="{176ECC41-F621-44B3-B591-ECE427C4ACB4}" srcOrd="5" destOrd="0" presId="urn:microsoft.com/office/officeart/2005/8/layout/orgChart1#2"/>
    <dgm:cxn modelId="{86A742F6-7006-4078-ABE5-385E59E7DAFF}" type="presParOf" srcId="{176ECC41-F621-44B3-B591-ECE427C4ACB4}" destId="{6D59223D-81ED-4422-9C58-2704AB0F1201}" srcOrd="0" destOrd="0" presId="urn:microsoft.com/office/officeart/2005/8/layout/orgChart1#2"/>
    <dgm:cxn modelId="{777FC755-89B3-40A2-A385-B4C797302A4D}" type="presParOf" srcId="{6D59223D-81ED-4422-9C58-2704AB0F1201}" destId="{06F8451B-35B4-46DC-94E1-81C94D032CEB}" srcOrd="0" destOrd="0" presId="urn:microsoft.com/office/officeart/2005/8/layout/orgChart1#2"/>
    <dgm:cxn modelId="{399CCD5B-AE38-4645-9832-F227836973E4}" type="presParOf" srcId="{6D59223D-81ED-4422-9C58-2704AB0F1201}" destId="{CE74423B-86BE-4772-8157-BE8AAA0E4634}" srcOrd="1" destOrd="0" presId="urn:microsoft.com/office/officeart/2005/8/layout/orgChart1#2"/>
    <dgm:cxn modelId="{7E99E0F6-8003-4BB0-A1AA-5DDF2F8ED81E}" type="presParOf" srcId="{176ECC41-F621-44B3-B591-ECE427C4ACB4}" destId="{013A4500-241D-4F1C-A1F6-0ADC59EF5C5A}" srcOrd="1" destOrd="0" presId="urn:microsoft.com/office/officeart/2005/8/layout/orgChart1#2"/>
    <dgm:cxn modelId="{B688DE39-E0B0-4B30-82C8-CBB3CB2458F8}" type="presParOf" srcId="{176ECC41-F621-44B3-B591-ECE427C4ACB4}" destId="{EBB4B800-0875-42AE-80ED-81A39C772E85}" srcOrd="2" destOrd="0" presId="urn:microsoft.com/office/officeart/2005/8/layout/orgChart1#2"/>
    <dgm:cxn modelId="{C291D16D-C31F-434A-A948-D76C1279D8BD}" type="presParOf" srcId="{FDBA479A-76F9-48B1-B69C-68A9C410F7D5}" destId="{1E571ADF-75A7-48EC-9547-38F567BF901F}" srcOrd="2" destOrd="0" presId="urn:microsoft.com/office/officeart/2005/8/layout/orgChart1#2"/>
    <dgm:cxn modelId="{6512C57E-B6A6-47A9-AE9A-C6544C1461B3}" type="presParOf" srcId="{1E571ADF-75A7-48EC-9547-38F567BF901F}" destId="{228BB09D-52AF-4BF3-A319-5E9479A66DB3}" srcOrd="0" destOrd="0" presId="urn:microsoft.com/office/officeart/2005/8/layout/orgChart1#2"/>
    <dgm:cxn modelId="{1C88A321-19A7-4FEA-96DB-7C449F755A54}" type="presParOf" srcId="{1E571ADF-75A7-48EC-9547-38F567BF901F}" destId="{61B35C67-7608-4A4B-B50F-293102E5AA71}" srcOrd="1" destOrd="0" presId="urn:microsoft.com/office/officeart/2005/8/layout/orgChart1#2"/>
    <dgm:cxn modelId="{F27F4280-E136-48A9-84C4-245DDBE781D6}" type="presParOf" srcId="{61B35C67-7608-4A4B-B50F-293102E5AA71}" destId="{95331EB6-0F4C-4F7C-A2A2-DD63691C8A70}" srcOrd="0" destOrd="0" presId="urn:microsoft.com/office/officeart/2005/8/layout/orgChart1#2"/>
    <dgm:cxn modelId="{E041DACB-04E7-46E1-96C5-B3EB3065DD2D}" type="presParOf" srcId="{95331EB6-0F4C-4F7C-A2A2-DD63691C8A70}" destId="{984B42BE-1BA7-4E86-86D7-63A7BA44B5A7}" srcOrd="0" destOrd="0" presId="urn:microsoft.com/office/officeart/2005/8/layout/orgChart1#2"/>
    <dgm:cxn modelId="{73A60F5C-E1CE-4E6E-A49A-2D5EEE399B6E}" type="presParOf" srcId="{95331EB6-0F4C-4F7C-A2A2-DD63691C8A70}" destId="{6C5EBF14-39B4-4CB3-8F93-A1B404C89DDD}" srcOrd="1" destOrd="0" presId="urn:microsoft.com/office/officeart/2005/8/layout/orgChart1#2"/>
    <dgm:cxn modelId="{1605F2AD-C5DB-499D-97BB-A61319612FE6}" type="presParOf" srcId="{61B35C67-7608-4A4B-B50F-293102E5AA71}" destId="{370623B4-0F86-470E-89A2-E2DC3BD2BAF3}" srcOrd="1" destOrd="0" presId="urn:microsoft.com/office/officeart/2005/8/layout/orgChart1#2"/>
    <dgm:cxn modelId="{FB8449F0-0B68-481C-8D07-ABE5ECFF0FA7}" type="presParOf" srcId="{61B35C67-7608-4A4B-B50F-293102E5AA71}" destId="{F4CCFEF3-CAD2-4F67-8AAE-3CD327AF35DC}" srcOrd="2" destOrd="0" presId="urn:microsoft.com/office/officeart/2005/8/layout/orgChart1#2"/>
    <dgm:cxn modelId="{15CB9C4E-CE15-4FA5-8435-652A0DCB4A53}" type="presParOf" srcId="{1E571ADF-75A7-48EC-9547-38F567BF901F}" destId="{2B154F58-2A52-4453-96EB-F33E6BB00C27}" srcOrd="2" destOrd="0" presId="urn:microsoft.com/office/officeart/2005/8/layout/orgChart1#2"/>
    <dgm:cxn modelId="{2CD925CA-9452-4F6D-85A1-D60D403ED09E}" type="presParOf" srcId="{1E571ADF-75A7-48EC-9547-38F567BF901F}" destId="{F15A7B54-7739-4276-ADFC-69521E14E200}" srcOrd="3" destOrd="0" presId="urn:microsoft.com/office/officeart/2005/8/layout/orgChart1#2"/>
    <dgm:cxn modelId="{AC424A2C-5610-4DCC-A11E-A26F778FC367}" type="presParOf" srcId="{F15A7B54-7739-4276-ADFC-69521E14E200}" destId="{46A1184C-51A5-43EC-9EBC-FF0B625F0696}" srcOrd="0" destOrd="0" presId="urn:microsoft.com/office/officeart/2005/8/layout/orgChart1#2"/>
    <dgm:cxn modelId="{8E36B15D-5871-470A-875E-60902581BC9C}" type="presParOf" srcId="{46A1184C-51A5-43EC-9EBC-FF0B625F0696}" destId="{515D07CE-CD98-4709-9DC2-C8E22657FF60}" srcOrd="0" destOrd="0" presId="urn:microsoft.com/office/officeart/2005/8/layout/orgChart1#2"/>
    <dgm:cxn modelId="{E9B6CD59-3BF6-4E77-8161-264E9F38F797}" type="presParOf" srcId="{46A1184C-51A5-43EC-9EBC-FF0B625F0696}" destId="{D78E3285-4557-4189-A0C6-4F1BAA9D32F0}" srcOrd="1" destOrd="0" presId="urn:microsoft.com/office/officeart/2005/8/layout/orgChart1#2"/>
    <dgm:cxn modelId="{E307C7A9-4AB7-4F4E-B4FC-49873A9B1317}" type="presParOf" srcId="{F15A7B54-7739-4276-ADFC-69521E14E200}" destId="{624045A0-B2E0-4D2B-888A-EB98FC877EF4}" srcOrd="1" destOrd="0" presId="urn:microsoft.com/office/officeart/2005/8/layout/orgChart1#2"/>
    <dgm:cxn modelId="{9363FF2C-52A3-4DAF-9751-2EA795956D6B}" type="presParOf" srcId="{F15A7B54-7739-4276-ADFC-69521E14E200}" destId="{3CFB9E1F-81CE-451D-898B-3C139F5DA225}" srcOrd="2" destOrd="0" presId="urn:microsoft.com/office/officeart/2005/8/layout/orgChart1#2"/>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154F58-2A52-4453-96EB-F33E6BB00C27}">
      <dsp:nvSpPr>
        <dsp:cNvPr id="0" name=""/>
        <dsp:cNvSpPr/>
      </dsp:nvSpPr>
      <dsp:spPr>
        <a:xfrm>
          <a:off x="2743200" y="567607"/>
          <a:ext cx="153652" cy="673142"/>
        </a:xfrm>
        <a:custGeom>
          <a:avLst/>
          <a:gdLst/>
          <a:ahLst/>
          <a:cxnLst/>
          <a:rect l="0" t="0" r="0" b="0"/>
          <a:pathLst>
            <a:path>
              <a:moveTo>
                <a:pt x="0" y="0"/>
              </a:moveTo>
              <a:lnTo>
                <a:pt x="0" y="673142"/>
              </a:lnTo>
              <a:lnTo>
                <a:pt x="153652" y="67314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28BB09D-52AF-4BF3-A319-5E9479A66DB3}">
      <dsp:nvSpPr>
        <dsp:cNvPr id="0" name=""/>
        <dsp:cNvSpPr/>
      </dsp:nvSpPr>
      <dsp:spPr>
        <a:xfrm>
          <a:off x="2589547" y="567607"/>
          <a:ext cx="153652" cy="673142"/>
        </a:xfrm>
        <a:custGeom>
          <a:avLst/>
          <a:gdLst/>
          <a:ahLst/>
          <a:cxnLst/>
          <a:rect l="0" t="0" r="0" b="0"/>
          <a:pathLst>
            <a:path>
              <a:moveTo>
                <a:pt x="153652" y="0"/>
              </a:moveTo>
              <a:lnTo>
                <a:pt x="153652" y="673142"/>
              </a:lnTo>
              <a:lnTo>
                <a:pt x="0" y="67314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9E5B820-3692-483B-A65E-1E099488F947}">
      <dsp:nvSpPr>
        <dsp:cNvPr id="0" name=""/>
        <dsp:cNvSpPr/>
      </dsp:nvSpPr>
      <dsp:spPr>
        <a:xfrm>
          <a:off x="2743200" y="567607"/>
          <a:ext cx="1879412" cy="1346284"/>
        </a:xfrm>
        <a:custGeom>
          <a:avLst/>
          <a:gdLst/>
          <a:ahLst/>
          <a:cxnLst/>
          <a:rect l="0" t="0" r="0" b="0"/>
          <a:pathLst>
            <a:path>
              <a:moveTo>
                <a:pt x="0" y="0"/>
              </a:moveTo>
              <a:lnTo>
                <a:pt x="0" y="1192632"/>
              </a:lnTo>
              <a:lnTo>
                <a:pt x="1879412" y="1192632"/>
              </a:lnTo>
              <a:lnTo>
                <a:pt x="1879412" y="1346284"/>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1668A97-D288-4923-9C43-C3B4BA2D6D00}">
      <dsp:nvSpPr>
        <dsp:cNvPr id="0" name=""/>
        <dsp:cNvSpPr/>
      </dsp:nvSpPr>
      <dsp:spPr>
        <a:xfrm>
          <a:off x="2697480" y="567607"/>
          <a:ext cx="91440" cy="1346284"/>
        </a:xfrm>
        <a:custGeom>
          <a:avLst/>
          <a:gdLst/>
          <a:ahLst/>
          <a:cxnLst/>
          <a:rect l="0" t="0" r="0" b="0"/>
          <a:pathLst>
            <a:path>
              <a:moveTo>
                <a:pt x="45720" y="0"/>
              </a:moveTo>
              <a:lnTo>
                <a:pt x="45720" y="1346284"/>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23D1975-36C0-4CA6-BCE5-42F6849F1227}">
      <dsp:nvSpPr>
        <dsp:cNvPr id="0" name=""/>
        <dsp:cNvSpPr/>
      </dsp:nvSpPr>
      <dsp:spPr>
        <a:xfrm>
          <a:off x="863787" y="567607"/>
          <a:ext cx="1879412" cy="1346284"/>
        </a:xfrm>
        <a:custGeom>
          <a:avLst/>
          <a:gdLst/>
          <a:ahLst/>
          <a:cxnLst/>
          <a:rect l="0" t="0" r="0" b="0"/>
          <a:pathLst>
            <a:path>
              <a:moveTo>
                <a:pt x="1879412" y="0"/>
              </a:moveTo>
              <a:lnTo>
                <a:pt x="1879412" y="1192632"/>
              </a:lnTo>
              <a:lnTo>
                <a:pt x="0" y="1192632"/>
              </a:lnTo>
              <a:lnTo>
                <a:pt x="0" y="1346284"/>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0426780-961F-48C4-910C-18CE81C484D5}">
      <dsp:nvSpPr>
        <dsp:cNvPr id="0" name=""/>
        <dsp:cNvSpPr/>
      </dsp:nvSpPr>
      <dsp:spPr>
        <a:xfrm>
          <a:off x="441624" y="1180"/>
          <a:ext cx="4603151" cy="56642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ts val="0"/>
            </a:spcAft>
          </a:pPr>
          <a:r>
            <a:rPr lang="ru-RU" sz="1200" kern="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Методика оценки системы управления трудовыми ресурсами торгового предприятия</a:t>
          </a:r>
        </a:p>
      </dsp:txBody>
      <dsp:txXfrm>
        <a:off x="441624" y="1180"/>
        <a:ext cx="4603151" cy="566427"/>
      </dsp:txXfrm>
    </dsp:sp>
    <dsp:sp modelId="{A26E1324-63E8-4465-B7EA-878C00F14AE7}">
      <dsp:nvSpPr>
        <dsp:cNvPr id="0" name=""/>
        <dsp:cNvSpPr/>
      </dsp:nvSpPr>
      <dsp:spPr>
        <a:xfrm>
          <a:off x="132110" y="1913892"/>
          <a:ext cx="1463352" cy="85442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ts val="0"/>
            </a:spcAft>
          </a:pPr>
          <a:r>
            <a:rPr lang="ru-RU" sz="1200" kern="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3. Оценка системы мотивации и стимулирования</a:t>
          </a:r>
        </a:p>
      </dsp:txBody>
      <dsp:txXfrm>
        <a:off x="132110" y="1913892"/>
        <a:ext cx="1463352" cy="854429"/>
      </dsp:txXfrm>
    </dsp:sp>
    <dsp:sp modelId="{E0860123-D786-4FB8-974F-45C4135D6EC4}">
      <dsp:nvSpPr>
        <dsp:cNvPr id="0" name=""/>
        <dsp:cNvSpPr/>
      </dsp:nvSpPr>
      <dsp:spPr>
        <a:xfrm>
          <a:off x="1902767" y="1913892"/>
          <a:ext cx="1680865" cy="85860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ts val="0"/>
            </a:spcAft>
          </a:pPr>
          <a:r>
            <a:rPr lang="ru-RU" sz="1200" kern="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4. Анализ эффективности использования трудового потенциала</a:t>
          </a:r>
        </a:p>
      </dsp:txBody>
      <dsp:txXfrm>
        <a:off x="1902767" y="1913892"/>
        <a:ext cx="1680865" cy="858607"/>
      </dsp:txXfrm>
    </dsp:sp>
    <dsp:sp modelId="{06F8451B-35B4-46DC-94E1-81C94D032CEB}">
      <dsp:nvSpPr>
        <dsp:cNvPr id="0" name=""/>
        <dsp:cNvSpPr/>
      </dsp:nvSpPr>
      <dsp:spPr>
        <a:xfrm>
          <a:off x="3890936" y="1913892"/>
          <a:ext cx="1463352" cy="83496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ts val="0"/>
            </a:spcAft>
          </a:pPr>
          <a:r>
            <a:rPr lang="ru-RU" sz="1200" kern="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5. Выявление проблемных зон и разработка рекомендаций</a:t>
          </a:r>
        </a:p>
      </dsp:txBody>
      <dsp:txXfrm>
        <a:off x="3890936" y="1913892"/>
        <a:ext cx="1463352" cy="834967"/>
      </dsp:txXfrm>
    </dsp:sp>
    <dsp:sp modelId="{984B42BE-1BA7-4E86-86D7-63A7BA44B5A7}">
      <dsp:nvSpPr>
        <dsp:cNvPr id="0" name=""/>
        <dsp:cNvSpPr/>
      </dsp:nvSpPr>
      <dsp:spPr>
        <a:xfrm>
          <a:off x="834241" y="874911"/>
          <a:ext cx="1755306" cy="73167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ts val="0"/>
            </a:spcAft>
          </a:pPr>
          <a:r>
            <a:rPr lang="ru-RU" sz="1200" kern="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1. Анализ организационной структуры</a:t>
          </a:r>
        </a:p>
      </dsp:txBody>
      <dsp:txXfrm>
        <a:off x="834241" y="874911"/>
        <a:ext cx="1755306" cy="731676"/>
      </dsp:txXfrm>
    </dsp:sp>
    <dsp:sp modelId="{515D07CE-CD98-4709-9DC2-C8E22657FF60}">
      <dsp:nvSpPr>
        <dsp:cNvPr id="0" name=""/>
        <dsp:cNvSpPr/>
      </dsp:nvSpPr>
      <dsp:spPr>
        <a:xfrm>
          <a:off x="2896852" y="874911"/>
          <a:ext cx="1760896" cy="73167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ts val="0"/>
            </a:spcAft>
          </a:pPr>
          <a:r>
            <a:rPr lang="ru-RU" sz="1200" kern="1200">
              <a:solidFill>
                <a:sysClr val="windowText" lastClr="000000">
                  <a:hueOff val="0"/>
                  <a:satOff val="0"/>
                  <a:lumOff val="0"/>
                  <a:alphaOff val="0"/>
                </a:sysClr>
              </a:solidFill>
              <a:latin typeface="Times New Roman" panose="02020603050405020304" charset="0"/>
              <a:ea typeface="+mn-ea"/>
              <a:cs typeface="Times New Roman" panose="02020603050405020304" charset="0"/>
            </a:rPr>
            <a:t>2. Анализ процессов управления персоналом</a:t>
          </a:r>
        </a:p>
      </dsp:txBody>
      <dsp:txXfrm>
        <a:off x="2896852" y="874911"/>
        <a:ext cx="1760896" cy="73167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2">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15</Pages>
  <Words>3348</Words>
  <Characters>19085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dc:creator>
  <cp:keywords/>
  <dc:description/>
  <cp:lastModifiedBy>Dave</cp:lastModifiedBy>
  <cp:revision>1</cp:revision>
  <dcterms:created xsi:type="dcterms:W3CDTF">2026-01-22T19:53:00Z</dcterms:created>
  <dcterms:modified xsi:type="dcterms:W3CDTF">2026-01-22T20:11:00Z</dcterms:modified>
</cp:coreProperties>
</file>